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eastAsia="宋体" w:cs="宋体"/>
          <w:bCs/>
          <w:color w:val="auto"/>
          <w:sz w:val="24"/>
          <w:szCs w:val="24"/>
          <w:highlight w:val="none"/>
        </w:rPr>
      </w:pPr>
      <w:r>
        <w:rPr>
          <w:color w:val="auto"/>
          <w:sz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spacing w:line="360" w:lineRule="auto"/>
        <w:rPr>
          <w:rFonts w:hint="eastAsia" w:ascii="宋体" w:hAnsi="宋体" w:eastAsia="宋体" w:cs="宋体"/>
          <w:bCs/>
          <w:color w:val="auto"/>
          <w:sz w:val="84"/>
          <w:szCs w:val="84"/>
          <w:highlight w:val="none"/>
        </w:rPr>
      </w:pPr>
      <w:r>
        <w:rPr>
          <w:rFonts w:hint="eastAsia" w:ascii="宋体" w:hAnsi="宋体" w:eastAsia="宋体" w:cs="宋体"/>
          <w:bCs/>
          <w:color w:val="auto"/>
          <w:sz w:val="84"/>
          <w:szCs w:val="84"/>
          <w:highlight w:val="none"/>
        </w:rPr>
        <w:t xml:space="preserve">苏州市政府采购</w:t>
      </w:r>
      <w:r/>
    </w:p>
    <w:p>
      <w:pPr>
        <w:jc w:val="center"/>
        <w:spacing w:line="360" w:lineRule="auto"/>
        <w:rPr>
          <w:rFonts w:hint="eastAsia" w:ascii="宋体" w:hAnsi="宋体" w:eastAsia="宋体" w:cs="宋体"/>
          <w:bCs/>
          <w:color w:val="auto"/>
          <w:sz w:val="32"/>
          <w:szCs w:val="32"/>
          <w:highlight w:val="none"/>
        </w:rPr>
      </w:pPr>
      <w:r>
        <w:rPr>
          <w:rFonts w:hint="eastAsia" w:ascii="宋体" w:hAnsi="宋体" w:eastAsia="宋体" w:cs="宋体"/>
          <w:bCs/>
          <w:color w:val="auto"/>
          <w:sz w:val="84"/>
          <w:szCs w:val="84"/>
          <w:highlight w:val="none"/>
        </w:rPr>
        <w:t xml:space="preserve">竞争性磋商文件</w:t>
      </w:r>
      <w:r/>
    </w:p>
    <w:p>
      <w:pPr>
        <w:jc w:val="center"/>
        <w:spacing w:line="360" w:lineRule="auto"/>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mc:AlternateContent>
          <mc:Choice Requires="wpg">
            <w:drawing>
              <wp:inline xmlns:wp="http://schemas.openxmlformats.org/drawingml/2006/wordprocessingDrawing" distT="0" distB="0" distL="0" distR="0">
                <wp:extent cx="1364615" cy="1370965"/>
                <wp:effectExtent l="0" t="0" r="6985" b="635"/>
                <wp:docPr id="3" name="图片 1" descr="苏州正杰招投标咨询服务有限公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苏州正杰招投标咨询服务有限公司"/>
                        <pic:cNvPicPr>
                          <a:picLocks noChangeAspect="1"/>
                        </pic:cNvPicPr>
                        <pic:nvPr/>
                      </pic:nvPicPr>
                      <pic:blipFill>
                        <a:blip r:embed="rId15"/>
                        <a:stretch/>
                      </pic:blipFill>
                      <pic:spPr bwMode="auto">
                        <a:xfrm>
                          <a:off x="0" y="0"/>
                          <a:ext cx="1364615" cy="1370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7.4pt;height:107.9pt;mso-wrap-distance-left:0.0pt;mso-wrap-distance-top:0.0pt;mso-wrap-distance-right:0.0pt;mso-wrap-distance-bottom:0.0pt;" stroked="f">
                <v:path textboxrect="0,0,0,0"/>
                <v:imagedata r:id="rId15" o:title=""/>
              </v:shape>
            </w:pict>
          </mc:Fallback>
        </mc:AlternateContent>
      </w:r>
      <w:r/>
    </w:p>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spacing w:line="360" w:lineRule="auto"/>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ind w:firstLine="1800"/>
        <w:jc w:val="left"/>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 购 人：苏州市吴江区自然资源和规划局</w:t>
      </w:r>
      <w:r/>
    </w:p>
    <w:p>
      <w:pPr>
        <w:ind w:firstLine="1800"/>
        <w:jc w:val="left"/>
        <w:spacing w:line="360" w:lineRule="auto"/>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项目编号：</w:t>
      </w:r>
      <w:r>
        <w:rPr>
          <w:rFonts w:hint="eastAsia" w:ascii="宋体" w:hAnsi="宋体" w:eastAsia="宋体" w:cs="宋体"/>
          <w:bCs/>
          <w:color w:val="auto"/>
          <w:sz w:val="30"/>
          <w:szCs w:val="30"/>
          <w:highlight w:val="none"/>
          <w:lang w:eastAsia="zh-CN"/>
        </w:rPr>
        <w:t xml:space="preserve">JSZC-320509-SZZJ-C2026-0021</w:t>
      </w:r>
      <w:r/>
    </w:p>
    <w:p>
      <w:pPr>
        <w:ind w:firstLine="1800"/>
        <w:jc w:val="both"/>
        <w:spacing w:line="360" w:lineRule="auto"/>
        <w:rPr>
          <w:rFonts w:hint="eastAsia" w:ascii="宋体" w:hAnsi="宋体" w:eastAsia="宋体" w:cs="宋体"/>
          <w:bCs/>
          <w:color w:val="auto"/>
          <w:sz w:val="30"/>
          <w:szCs w:val="30"/>
          <w:highlight w:val="none"/>
          <w:lang w:val="en-US" w:eastAsia="zh-CN"/>
        </w:rPr>
      </w:pPr>
      <w:r>
        <w:rPr>
          <w:rFonts w:hint="eastAsia" w:ascii="宋体" w:hAnsi="宋体" w:eastAsia="宋体" w:cs="宋体"/>
          <w:bCs/>
          <w:color w:val="auto"/>
          <w:sz w:val="30"/>
          <w:szCs w:val="30"/>
          <w:highlight w:val="none"/>
        </w:rPr>
        <w:t xml:space="preserve">项目名称：2026年基础地理信息数据更新</w:t>
      </w:r>
      <w:r>
        <w:rPr>
          <w:rFonts w:hint="eastAsia" w:ascii="宋体" w:hAnsi="宋体" w:eastAsia="宋体" w:cs="宋体"/>
          <w:bCs/>
          <w:color w:val="auto"/>
          <w:sz w:val="30"/>
          <w:szCs w:val="30"/>
          <w:highlight w:val="none"/>
          <w:lang w:val="en-US" w:eastAsia="zh-CN"/>
        </w:rPr>
        <w:t xml:space="preserve">项目</w:t>
      </w:r>
      <w:r/>
    </w:p>
    <w:p>
      <w:pPr>
        <w:ind w:firstLine="1800"/>
        <w:jc w:val="left"/>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采购类别：服务类</w:t>
      </w:r>
      <w:r/>
    </w:p>
    <w:p>
      <w:pPr>
        <w:jc w:val="cente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jc w:val="cente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jc w:val="cente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jc w:val="cente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苏州正杰招投标咨询服务有限公司</w:t>
      </w:r>
      <w:r/>
    </w:p>
    <w:p>
      <w:pPr>
        <w:pStyle w:val="908"/>
        <w:ind w:firstLine="0"/>
        <w:jc w:val="cente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2026年</w:t>
      </w:r>
      <w:r>
        <w:rPr>
          <w:rFonts w:hint="eastAsia" w:ascii="宋体" w:hAnsi="宋体" w:eastAsia="宋体" w:cs="宋体"/>
          <w:bCs/>
          <w:color w:val="auto"/>
          <w:sz w:val="30"/>
          <w:szCs w:val="30"/>
          <w:highlight w:val="none"/>
          <w:lang w:val="en-US" w:eastAsia="zh-CN"/>
        </w:rPr>
        <w:t xml:space="preserve">5</w:t>
      </w:r>
      <w:r>
        <w:rPr>
          <w:rFonts w:hint="eastAsia" w:ascii="宋体" w:hAnsi="宋体" w:eastAsia="宋体" w:cs="宋体"/>
          <w:bCs/>
          <w:color w:val="auto"/>
          <w:sz w:val="30"/>
          <w:szCs w:val="30"/>
          <w:highlight w:val="none"/>
        </w:rPr>
        <w:t xml:space="preserve">月</w:t>
      </w:r>
      <w:r/>
    </w:p>
    <w:p>
      <w:pPr>
        <w:pStyle w:val="908"/>
        <w:ind w:firstLine="0"/>
        <w:jc w:val="center"/>
        <w:spacing w:line="360" w:lineRule="auto"/>
        <w:rPr>
          <w:rFonts w:hint="eastAsia" w:ascii="宋体" w:hAnsi="宋体" w:eastAsia="宋体" w:cs="宋体"/>
          <w:b/>
          <w:color w:val="auto"/>
          <w:sz w:val="32"/>
          <w:szCs w:val="32"/>
          <w:highlight w:val="none"/>
        </w:rPr>
        <w:sectPr>
          <w:headerReference w:type="default" r:id="rId9"/>
          <w:footerReference w:type="default" r:id="rId10"/>
          <w:footnotePr/>
          <w:endnotePr/>
          <w:type w:val="nextPage"/>
          <w:pgSz w:w="11906" w:h="16838" w:orient="portrait"/>
          <w:pgMar w:top="1134" w:right="1134" w:bottom="1134" w:left="1134" w:header="851" w:footer="567" w:gutter="0"/>
          <w:pgNumType w:start="0"/>
          <w:cols w:num="1" w:sep="0" w:space="720" w:equalWidth="1"/>
          <w:docGrid w:linePitch="360"/>
          <w:titlePg/>
        </w:sectPr>
      </w:pPr>
      <w:r>
        <w:rPr>
          <w:rFonts w:hint="eastAsia" w:ascii="宋体" w:hAnsi="宋体" w:eastAsia="宋体" w:cs="宋体"/>
          <w:b/>
          <w:color w:val="auto"/>
          <w:sz w:val="32"/>
          <w:szCs w:val="32"/>
          <w:highlight w:val="none"/>
        </w:rPr>
      </w:r>
      <w:r/>
    </w:p>
    <w:p>
      <w:pPr>
        <w:pStyle w:val="908"/>
        <w:ind w:firstLine="0"/>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目  录</w:t>
      </w:r>
      <w:r/>
    </w:p>
    <w:p>
      <w:pPr>
        <w:pStyle w:val="908"/>
        <w:ind w:firstLine="0"/>
        <w:jc w:val="center"/>
        <w:spacing w:line="360" w:lineRule="auto"/>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932"/>
        <w:ind w:firstLine="0"/>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fldChar w:fldCharType="begin"/>
      </w:r>
      <w:r>
        <w:rPr>
          <w:rFonts w:hint="eastAsia" w:ascii="宋体" w:hAnsi="宋体" w:eastAsia="宋体" w:cs="宋体"/>
          <w:bCs/>
          <w:color w:val="auto"/>
          <w:sz w:val="32"/>
          <w:szCs w:val="32"/>
          <w:highlight w:val="none"/>
        </w:rPr>
        <w:instrText xml:space="preserve"> TOC \o "1-1" </w:instrText>
      </w:r>
      <w:r>
        <w:rPr>
          <w:rFonts w:hint="eastAsia" w:ascii="宋体" w:hAnsi="宋体" w:eastAsia="宋体" w:cs="宋体"/>
          <w:bCs/>
          <w:color w:val="auto"/>
          <w:sz w:val="32"/>
          <w:szCs w:val="32"/>
          <w:highlight w:val="none"/>
        </w:rPr>
        <w:fldChar w:fldCharType="separate"/>
      </w:r>
      <w:r>
        <w:rPr>
          <w:rFonts w:hint="eastAsia" w:ascii="宋体" w:hAnsi="宋体" w:eastAsia="宋体" w:cs="宋体"/>
          <w:bCs/>
          <w:color w:val="auto"/>
          <w:sz w:val="32"/>
          <w:szCs w:val="32"/>
          <w:highlight w:val="none"/>
        </w:rPr>
        <w:t xml:space="preserve">第一章 竞争性磋商邀请函</w:t>
      </w:r>
      <w:r>
        <w:rPr>
          <w:rFonts w:hint="eastAsia" w:ascii="宋体" w:hAnsi="宋体" w:eastAsia="宋体" w:cs="宋体"/>
          <w:bCs/>
          <w:color w:val="auto"/>
          <w:sz w:val="32"/>
          <w:szCs w:val="32"/>
          <w:highlight w:val="none"/>
        </w:rPr>
        <w:tab/>
      </w:r>
      <w:r>
        <w:rPr>
          <w:rFonts w:hint="eastAsia" w:ascii="宋体" w:hAnsi="宋体" w:eastAsia="宋体" w:cs="宋体"/>
          <w:bCs/>
          <w:color w:val="auto"/>
          <w:sz w:val="32"/>
          <w:szCs w:val="32"/>
          <w:highlight w:val="none"/>
        </w:rPr>
        <w:t xml:space="preserve">1</w:t>
      </w:r>
      <w:r/>
    </w:p>
    <w:p>
      <w:pPr>
        <w:pStyle w:val="932"/>
        <w:ind w:firstLine="0"/>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第二章 响应须知</w:t>
      </w:r>
      <w:r>
        <w:rPr>
          <w:rFonts w:hint="eastAsia" w:ascii="宋体" w:hAnsi="宋体" w:eastAsia="宋体" w:cs="宋体"/>
          <w:bCs/>
          <w:color w:val="auto"/>
          <w:sz w:val="32"/>
          <w:szCs w:val="32"/>
          <w:highlight w:val="none"/>
        </w:rPr>
        <w:tab/>
      </w:r>
      <w:r>
        <w:rPr>
          <w:rFonts w:hint="eastAsia" w:ascii="宋体" w:hAnsi="宋体" w:eastAsia="宋体" w:cs="宋体"/>
          <w:bCs/>
          <w:color w:val="auto"/>
          <w:sz w:val="32"/>
          <w:szCs w:val="32"/>
          <w:highlight w:val="none"/>
        </w:rPr>
        <w:t xml:space="preserve">5</w:t>
      </w:r>
      <w:r/>
    </w:p>
    <w:p>
      <w:pPr>
        <w:pStyle w:val="932"/>
        <w:ind w:firstLine="0"/>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第三章 响应文件格式</w:t>
      </w:r>
      <w:r>
        <w:rPr>
          <w:rFonts w:hint="eastAsia" w:ascii="宋体" w:hAnsi="宋体" w:eastAsia="宋体" w:cs="宋体"/>
          <w:bCs/>
          <w:color w:val="auto"/>
          <w:sz w:val="32"/>
          <w:szCs w:val="32"/>
          <w:highlight w:val="none"/>
        </w:rPr>
        <w:tab/>
      </w:r>
      <w:r>
        <w:rPr>
          <w:rFonts w:hint="eastAsia" w:ascii="宋体" w:hAnsi="宋体" w:eastAsia="宋体" w:cs="宋体"/>
          <w:bCs/>
          <w:color w:val="auto"/>
          <w:sz w:val="32"/>
          <w:szCs w:val="32"/>
          <w:highlight w:val="none"/>
        </w:rPr>
        <w:t xml:space="preserve">16</w:t>
      </w:r>
      <w:r/>
    </w:p>
    <w:p>
      <w:pPr>
        <w:pStyle w:val="932"/>
        <w:ind w:firstLine="0"/>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第四章 采购需求</w:t>
      </w:r>
      <w:r>
        <w:rPr>
          <w:rFonts w:hint="eastAsia" w:ascii="宋体" w:hAnsi="宋体" w:eastAsia="宋体" w:cs="宋体"/>
          <w:bCs/>
          <w:color w:val="auto"/>
          <w:sz w:val="32"/>
          <w:szCs w:val="32"/>
          <w:highlight w:val="none"/>
        </w:rPr>
        <w:tab/>
      </w:r>
      <w:r>
        <w:rPr>
          <w:rFonts w:hint="eastAsia" w:ascii="宋体" w:hAnsi="宋体" w:eastAsia="宋体" w:cs="宋体"/>
          <w:bCs/>
          <w:color w:val="auto"/>
          <w:sz w:val="32"/>
          <w:szCs w:val="32"/>
          <w:highlight w:val="none"/>
        </w:rPr>
        <w:t xml:space="preserve">26</w:t>
      </w:r>
      <w:r/>
    </w:p>
    <w:p>
      <w:pPr>
        <w:pStyle w:val="932"/>
        <w:ind w:firstLine="0"/>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第五章 合同文本</w:t>
      </w:r>
      <w:r>
        <w:rPr>
          <w:rFonts w:hint="eastAsia" w:ascii="宋体" w:hAnsi="宋体" w:eastAsia="宋体" w:cs="宋体"/>
          <w:bCs/>
          <w:color w:val="auto"/>
          <w:sz w:val="32"/>
          <w:szCs w:val="32"/>
          <w:highlight w:val="none"/>
        </w:rPr>
        <w:tab/>
      </w:r>
      <w:r>
        <w:rPr>
          <w:rFonts w:hint="eastAsia" w:ascii="宋体" w:hAnsi="宋体" w:eastAsia="宋体" w:cs="宋体"/>
          <w:bCs/>
          <w:color w:val="auto"/>
          <w:sz w:val="32"/>
          <w:szCs w:val="32"/>
          <w:highlight w:val="none"/>
        </w:rPr>
        <w:t xml:space="preserve">30</w:t>
      </w:r>
      <w:r/>
    </w:p>
    <w:p>
      <w:pPr>
        <w:pStyle w:val="932"/>
        <w:ind w:firstLine="0"/>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第六章 评审方法及评审标准</w:t>
      </w:r>
      <w:r>
        <w:rPr>
          <w:rFonts w:hint="eastAsia" w:ascii="宋体" w:hAnsi="宋体" w:eastAsia="宋体" w:cs="宋体"/>
          <w:bCs/>
          <w:color w:val="auto"/>
          <w:sz w:val="32"/>
          <w:szCs w:val="32"/>
          <w:highlight w:val="none"/>
        </w:rPr>
        <w:tab/>
      </w:r>
      <w:r>
        <w:rPr>
          <w:rFonts w:hint="eastAsia" w:ascii="宋体" w:hAnsi="宋体" w:eastAsia="宋体" w:cs="宋体"/>
          <w:bCs/>
          <w:color w:val="auto"/>
          <w:sz w:val="32"/>
          <w:szCs w:val="32"/>
          <w:highlight w:val="none"/>
        </w:rPr>
        <w:t xml:space="preserve">36</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32"/>
          <w:szCs w:val="32"/>
          <w:highlight w:val="none"/>
        </w:rPr>
        <w:fldChar w:fldCharType="end"/>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894"/>
        <w:ind w:firstLine="1040"/>
        <w:jc w:val="center"/>
        <w:spacing w:line="360" w:lineRule="auto"/>
        <w:rPr>
          <w:rFonts w:hint="eastAsia" w:ascii="宋体" w:hAnsi="宋体" w:eastAsia="宋体" w:cs="宋体"/>
          <w:b w:val="0"/>
          <w:bCs/>
          <w:color w:val="auto"/>
          <w:sz w:val="52"/>
          <w:szCs w:val="52"/>
          <w:highlight w:val="none"/>
        </w:rPr>
        <w:sectPr>
          <w:footerReference w:type="default" r:id="rId11"/>
          <w:footerReference w:type="first" r:id="rId12"/>
          <w:footnotePr/>
          <w:endnotePr/>
          <w:type w:val="nextPage"/>
          <w:pgSz w:w="11906" w:h="16838" w:orient="portrait"/>
          <w:pgMar w:top="1134" w:right="1134" w:bottom="1134" w:left="1134" w:header="851" w:footer="567" w:gutter="0"/>
          <w:pgNumType w:start="1"/>
          <w:cols w:num="1" w:sep="0" w:space="720" w:equalWidth="1"/>
          <w:docGrid w:linePitch="360"/>
        </w:sectPr>
      </w:pPr>
      <w:r/>
      <w:bookmarkStart w:id="0" w:name="_第一章_谈判邀请函"/>
      <w:r/>
      <w:bookmarkEnd w:id="0"/>
      <w:r/>
      <w:bookmarkStart w:id="1" w:name="_Toc301856546"/>
      <w:r/>
      <w:bookmarkEnd w:id="1"/>
      <w:r/>
      <w:r/>
    </w:p>
    <w:p>
      <w:pPr>
        <w:ind w:firstLine="482"/>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第一章 竞争性磋商邀请函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苏州正杰招投标咨询服务有限公司受苏州市吴江区自然资源和规划局的委托，就其所需的2026年基础地理信息数据更新项目以竞争性磋商方式组织政府采购，欢迎符合条件的供应商参加。</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一、项目基本情况</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JSZC-320509-SZZJ-C2026-0021</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项目名称：2026年基础地理信息数据更新项目。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采购方式：竞争性磋商。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zh-CN"/>
        </w:rPr>
        <w:t xml:space="preserve">人民币</w:t>
      </w:r>
      <w:r>
        <w:rPr>
          <w:rFonts w:hint="eastAsia" w:ascii="宋体" w:hAnsi="宋体" w:eastAsia="宋体" w:cs="宋体"/>
          <w:color w:val="auto"/>
          <w:sz w:val="24"/>
          <w:szCs w:val="24"/>
          <w:highlight w:val="none"/>
        </w:rPr>
        <w:t xml:space="preserve">叁</w:t>
      </w:r>
      <w:r>
        <w:rPr>
          <w:rFonts w:hint="eastAsia" w:ascii="宋体" w:hAnsi="宋体" w:eastAsia="宋体" w:cs="宋体"/>
          <w:color w:val="auto"/>
          <w:sz w:val="24"/>
          <w:szCs w:val="24"/>
          <w:highlight w:val="none"/>
          <w:lang w:val="en-US" w:eastAsia="zh-CN"/>
        </w:rPr>
        <w:t xml:space="preserve">佰肆拾叁</w:t>
      </w:r>
      <w:r>
        <w:rPr>
          <w:rFonts w:hint="eastAsia" w:ascii="宋体" w:hAnsi="宋体" w:eastAsia="宋体" w:cs="宋体"/>
          <w:color w:val="auto"/>
          <w:sz w:val="24"/>
          <w:szCs w:val="24"/>
          <w:highlight w:val="none"/>
        </w:rPr>
        <w:t xml:space="preserve">万</w:t>
      </w:r>
      <w:r>
        <w:rPr>
          <w:rFonts w:hint="eastAsia" w:ascii="宋体" w:hAnsi="宋体" w:eastAsia="宋体" w:cs="宋体"/>
          <w:color w:val="auto"/>
          <w:sz w:val="24"/>
          <w:szCs w:val="24"/>
          <w:highlight w:val="none"/>
          <w:lang w:val="zh-CN"/>
        </w:rPr>
        <w:t xml:space="preserve">元整（小写：</w:t>
      </w:r>
      <w:r>
        <w:rPr>
          <w:rFonts w:hint="eastAsia" w:ascii="宋体" w:hAnsi="宋体" w:eastAsia="宋体" w:cs="宋体"/>
          <w:color w:val="auto"/>
          <w:sz w:val="24"/>
          <w:szCs w:val="24"/>
          <w:highlight w:val="none"/>
        </w:rPr>
        <w:t xml:space="preserve">34</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0000</w:t>
      </w:r>
      <w:r>
        <w:rPr>
          <w:rFonts w:hint="eastAsia" w:ascii="宋体" w:hAnsi="宋体" w:eastAsia="宋体" w:cs="宋体"/>
          <w:color w:val="auto"/>
          <w:sz w:val="24"/>
          <w:szCs w:val="24"/>
          <w:highlight w:val="none"/>
          <w:lang w:val="zh-CN"/>
        </w:rPr>
        <w:t xml:space="preserve">.00元）</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val="zh-CN"/>
        </w:rPr>
        <w:t xml:space="preserve">人民币</w:t>
      </w:r>
      <w:r>
        <w:rPr>
          <w:rFonts w:hint="eastAsia" w:ascii="宋体" w:hAnsi="宋体" w:eastAsia="宋体" w:cs="宋体"/>
          <w:color w:val="auto"/>
          <w:sz w:val="24"/>
          <w:szCs w:val="24"/>
          <w:highlight w:val="none"/>
        </w:rPr>
        <w:t xml:space="preserve">叁</w:t>
      </w:r>
      <w:r>
        <w:rPr>
          <w:rFonts w:hint="eastAsia" w:ascii="宋体" w:hAnsi="宋体" w:eastAsia="宋体" w:cs="宋体"/>
          <w:color w:val="auto"/>
          <w:sz w:val="24"/>
          <w:szCs w:val="24"/>
          <w:highlight w:val="none"/>
          <w:lang w:val="en-US" w:eastAsia="zh-CN"/>
        </w:rPr>
        <w:t xml:space="preserve">佰肆拾叁</w:t>
      </w:r>
      <w:r>
        <w:rPr>
          <w:rFonts w:hint="eastAsia" w:ascii="宋体" w:hAnsi="宋体" w:eastAsia="宋体" w:cs="宋体"/>
          <w:color w:val="auto"/>
          <w:sz w:val="24"/>
          <w:szCs w:val="24"/>
          <w:highlight w:val="none"/>
        </w:rPr>
        <w:t xml:space="preserve">万</w:t>
      </w:r>
      <w:r>
        <w:rPr>
          <w:rFonts w:hint="eastAsia" w:ascii="宋体" w:hAnsi="宋体" w:eastAsia="宋体" w:cs="宋体"/>
          <w:color w:val="auto"/>
          <w:sz w:val="24"/>
          <w:szCs w:val="24"/>
          <w:highlight w:val="none"/>
          <w:lang w:val="zh-CN"/>
        </w:rPr>
        <w:t xml:space="preserve">元整（小写：</w:t>
      </w:r>
      <w:r>
        <w:rPr>
          <w:rFonts w:hint="eastAsia" w:ascii="宋体" w:hAnsi="宋体" w:eastAsia="宋体" w:cs="宋体"/>
          <w:color w:val="auto"/>
          <w:sz w:val="24"/>
          <w:szCs w:val="24"/>
          <w:highlight w:val="none"/>
        </w:rPr>
        <w:t xml:space="preserve">34</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0000</w:t>
      </w:r>
      <w:r>
        <w:rPr>
          <w:rFonts w:hint="eastAsia" w:ascii="宋体" w:hAnsi="宋体" w:eastAsia="宋体" w:cs="宋体"/>
          <w:color w:val="auto"/>
          <w:sz w:val="24"/>
          <w:szCs w:val="24"/>
          <w:highlight w:val="none"/>
          <w:lang w:val="zh-CN"/>
        </w:rPr>
        <w:t xml:space="preserve">.00元）</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1、标的的名称：2026年基础地理信息数据更新项目</w:t>
      </w:r>
      <w:r>
        <w:rPr>
          <w:rFonts w:hint="eastAsia" w:ascii="宋体" w:hAnsi="宋体" w:eastAsia="宋体" w:cs="宋体"/>
          <w:color w:val="auto"/>
          <w:sz w:val="24"/>
          <w:szCs w:val="24"/>
          <w:highlight w:val="none"/>
          <w:lang w:eastAsia="zh-CN"/>
        </w:rPr>
        <w:t xml:space="preserve">。</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2、标段：1个。</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3、服务要求：根据《中华人民共和国测绘法》、《基础测绘条例》、《江苏省测绘地理信息条例》等法律法规及相关文件要求，拟开展2026年基础地理信息数据更新项目。</w:t>
      </w:r>
      <w:r>
        <w:rPr>
          <w:rFonts w:hint="eastAsia" w:ascii="宋体" w:hAnsi="宋体" w:eastAsia="宋体" w:cs="宋体"/>
          <w:bCs/>
          <w:color w:val="auto"/>
          <w:sz w:val="24"/>
          <w:szCs w:val="24"/>
          <w:highlight w:val="none"/>
        </w:rPr>
        <w:t xml:space="preserve">具体详见采购文件中采购需求</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highlight w:val="none"/>
        </w:rPr>
        <w:t xml:space="preserve">自合同签订之日起10个月，项目拟于2027年3月底前完成项目的所有建设内容并经质检合格（过程成果根据使用需要，分期、分批提交）。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4、本项目接受联合体。联合体投标的，联合体各方单位数量不得超过2家，应同时满足下列要求：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（1）联合体各方应按招标文件提供的格式签订联合体协议书，明确联合体牵头人和各方权利义务；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（2）联合体各方不得再以自己名义单独或参加其他联合体在同一标段中投标。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（3）联合体中有同类资质的供应商按照联合体分工承担相同工作的，应当按照资质等级较低的供应商确定资质等级。</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（4）供应商以联合体中标或成交的，联合体各方应当共同与采购人签订采购合同，就采购合同约定的事项对采购人承担连带债务和连带责任。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注：若申请人为联合体，报名时联合体主办人报名确认函里必须注明联合体其他成员单位全称。</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二、申请人的资格要求：</w:t>
      </w:r>
      <w:bookmarkStart w:id="18" w:name="_GoBack"/>
      <w:r/>
      <w:bookmarkEnd w:id="18"/>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2、落实政府采购政策需满足的资格要求：无。</w:t>
      </w:r>
      <w:r/>
    </w:p>
    <w:p>
      <w:pPr>
        <w:ind w:left="0" w:right="0" w:firstLine="480"/>
        <w:jc w:val="both"/>
        <w:spacing w:before="0" w:after="0" w:line="85" w:lineRule="atLeast"/>
        <w:rPr>
          <w:color w:val="auto"/>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szCs w:val="24"/>
          <w:highlight w:val="none"/>
        </w:rPr>
        <w:t xml:space="preserve">3、本项目的特定资格要求：具有测绘地理信息主管部门颁发的有效的乙级测绘资质及以上</w:t>
      </w:r>
      <w:r>
        <w:rPr>
          <w:rFonts w:hint="eastAsia" w:ascii="宋体" w:hAnsi="宋体" w:eastAsia="宋体" w:cs="宋体"/>
          <w:color w:val="auto"/>
          <w:sz w:val="24"/>
          <w:szCs w:val="24"/>
          <w:highlight w:val="none"/>
        </w:rPr>
        <w:t xml:space="preserve">（专业标准应包含测绘航空摄影、摄影测量与遥感、地理信息系统工程、地图编制）。</w:t>
      </w:r>
      <w:r>
        <w:rPr>
          <w:rFonts w:ascii="SimSun" w:hAnsi="SimSun" w:eastAsia="SimSun" w:cs="SimSun"/>
          <w:color w:val="auto"/>
          <w:sz w:val="24"/>
        </w:rPr>
        <w:t xml:space="preserve">联合体成员均应满足上述特定资质要求。</w:t>
      </w:r>
      <w:r>
        <w:rPr>
          <w:color w:val="auto"/>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4、本项目不专门面向中小企业采购。</w:t>
      </w:r>
      <w:r/>
    </w:p>
    <w:p>
      <w:pPr>
        <w:ind w:firstLine="482"/>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三、获取采购文件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时间：自磋商文件公告发布之日起5个工作日。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地点：“苏采云”系统自行下载采购文件。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方式（网上报名）：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（1）CA办理：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（2）参与采购活动：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08"/>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（3）电子投标准备：</w:t>
      </w:r>
      <w:r/>
    </w:p>
    <w:p>
      <w:pPr>
        <w:pStyle w:val="908"/>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908"/>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在系统操作过程中如有疑问，请按以下方式联系：</w:t>
      </w:r>
      <w:r/>
    </w:p>
    <w:p>
      <w:pPr>
        <w:pStyle w:val="908"/>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注册咨询：13914088964；</w:t>
      </w:r>
      <w:r/>
    </w:p>
    <w:p>
      <w:pPr>
        <w:pStyle w:val="908"/>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CA技术咨询服务电话：400-608-6099；</w:t>
      </w:r>
      <w:r/>
    </w:p>
    <w:p>
      <w:pPr>
        <w:pStyle w:val="908"/>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电子签章技术咨询服务电话025-83633811、025-83633812、15380932027、15371015030；</w:t>
      </w:r>
      <w:r/>
    </w:p>
    <w:p>
      <w:pPr>
        <w:pStyle w:val="908"/>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苏州市及区县“苏采云”系统使用指导与咨询：联系电话：13914088964、0512-69820854；智能客服：登录苏采云系统后，联系系统右下方智能客服图标进行咨询。</w:t>
      </w:r>
      <w:r/>
    </w:p>
    <w:p>
      <w:pPr>
        <w:pStyle w:val="908"/>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售价：本项目免费下载电子采购文件。</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四、响应文件提交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1、截止时间：</w:t>
      </w:r>
      <w:r>
        <w:rPr>
          <w:rFonts w:hint="eastAsia" w:ascii="宋体" w:hAnsi="宋体" w:eastAsia="宋体" w:cs="宋体"/>
          <w:b/>
          <w:bCs/>
          <w:color w:val="auto"/>
          <w:sz w:val="24"/>
          <w:szCs w:val="24"/>
          <w:highlight w:val="none"/>
        </w:rPr>
        <w:t xml:space="preserve">2026年6月8日13点30分</w:t>
      </w:r>
      <w:r>
        <w:rPr>
          <w:rFonts w:hint="eastAsia" w:ascii="宋体" w:hAnsi="宋体" w:eastAsia="宋体" w:cs="宋体"/>
          <w:b/>
          <w:color w:val="auto"/>
          <w:sz w:val="24"/>
          <w:szCs w:val="24"/>
          <w:highlight w:val="none"/>
        </w:rPr>
        <w:t xml:space="preserve">（北京时间）。</w:t>
      </w:r>
      <w:r/>
    </w:p>
    <w:p>
      <w:pPr>
        <w:pStyle w:val="908"/>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2、地点：“苏采云”系统（网址：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eastAsia="宋体" w:cs="宋体"/>
          <w:color w:val="auto"/>
          <w:szCs w:val="24"/>
          <w:highlight w:val="none"/>
        </w:rPr>
        <w:t xml:space="preserve">http://jszfcg.jsczt.cn/）。</w:t>
      </w:r>
      <w:r>
        <w:rPr>
          <w:rFonts w:hint="eastAsia" w:ascii="宋体" w:hAnsi="宋体" w:eastAsia="宋体" w:cs="宋体"/>
          <w:color w:val="auto"/>
          <w:szCs w:val="24"/>
          <w:highlight w:val="none"/>
        </w:rPr>
        <w:fldChar w:fldCharType="end"/>
      </w:r>
      <w:r/>
    </w:p>
    <w:p>
      <w:pPr>
        <w:pStyle w:val="908"/>
        <w:ind w:firstLine="480"/>
        <w:spacing w:line="360" w:lineRule="auto"/>
        <w:rPr>
          <w:rFonts w:hint="eastAsia" w:ascii="宋体" w:hAnsi="宋体" w:eastAsia="宋体" w:cs="宋体"/>
          <w:color w:val="auto"/>
          <w:szCs w:val="24"/>
          <w:highlight w:val="none"/>
        </w:rPr>
      </w:pPr>
      <w:r>
        <w:rPr>
          <w:rFonts w:ascii="宋体" w:hAnsi="宋体" w:eastAsia="宋体" w:cs="宋体"/>
          <w:color w:val="auto"/>
          <w:szCs w:val="24"/>
          <w:highlight w:val="none"/>
        </w:rPr>
        <w:t xml:space="preserve">3</w:t>
      </w:r>
      <w:r>
        <w:rPr>
          <w:rFonts w:hint="eastAsia" w:ascii="宋体" w:hAnsi="宋体" w:eastAsia="宋体" w:cs="宋体"/>
          <w:color w:val="auto"/>
          <w:szCs w:val="24"/>
          <w:highlight w:val="none"/>
        </w:rPr>
        <w:t xml:space="preserve">、方式：响应文件网上递交，不需要现场参加采购活动。</w:t>
      </w:r>
      <w:r/>
    </w:p>
    <w:p>
      <w:pPr>
        <w:pStyle w:val="908"/>
        <w:ind w:firstLine="482"/>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五、开启</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w:t>
      </w:r>
      <w:r>
        <w:rPr>
          <w:rFonts w:hint="eastAsia" w:ascii="宋体" w:hAnsi="宋体" w:eastAsia="宋体" w:cs="宋体"/>
          <w:b/>
          <w:bCs/>
          <w:color w:val="auto"/>
          <w:sz w:val="24"/>
          <w:szCs w:val="24"/>
          <w:highlight w:val="none"/>
        </w:rPr>
        <w:t xml:space="preserve">2026年6月8日13点30分</w:t>
      </w:r>
      <w:r>
        <w:rPr>
          <w:rFonts w:hint="eastAsia" w:ascii="宋体" w:hAnsi="宋体" w:eastAsia="宋体" w:cs="宋体"/>
          <w:b/>
          <w:color w:val="auto"/>
          <w:sz w:val="24"/>
          <w:szCs w:val="24"/>
          <w:highlight w:val="none"/>
        </w:rPr>
        <w:t xml:space="preserve">（北京时间）。</w:t>
      </w:r>
      <w:r/>
    </w:p>
    <w:p>
      <w:pPr>
        <w:pStyle w:val="908"/>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2、地点：“苏采云”系统（网址：http://jszfcg.jsczt.cn/）。</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3、线上参加开标（开启）会方式：供应商登录</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苏采云</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系统，点击</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开标大厅</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，选择对应项目，点击进入不见面开标系统。</w:t>
      </w:r>
      <w:r>
        <w:rPr>
          <w:rFonts w:ascii="宋体" w:hAnsi="宋体" w:eastAsia="宋体" w:cs="宋体"/>
          <w:color w:val="auto"/>
          <w:sz w:val="24"/>
          <w:szCs w:val="24"/>
          <w:highlight w:val="none"/>
        </w:rPr>
        <w:t xml:space="preserve"> </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本项目为不见面开标（开启）项目，</w:t>
      </w:r>
      <w:r>
        <w:rPr>
          <w:rFonts w:hint="eastAsia" w:ascii="宋体" w:hAnsi="宋体" w:eastAsia="宋体" w:cs="宋体"/>
          <w:b/>
          <w:bCs/>
          <w:color w:val="auto"/>
          <w:sz w:val="24"/>
          <w:szCs w:val="24"/>
          <w:highlight w:val="none"/>
        </w:rPr>
        <w:t xml:space="preserve">开启阶段供应商在【解密环节】必须使用</w:t>
      </w:r>
      <w:r>
        <w:rPr>
          <w:rFonts w:ascii="宋体" w:hAnsi="宋体" w:eastAsia="宋体" w:cs="宋体"/>
          <w:b/>
          <w:bCs/>
          <w:color w:val="auto"/>
          <w:sz w:val="24"/>
          <w:szCs w:val="24"/>
          <w:highlight w:val="none"/>
        </w:rPr>
        <w:t xml:space="preserve"> CA</w:t>
      </w:r>
      <w:r>
        <w:rPr>
          <w:rFonts w:hint="eastAsia" w:ascii="宋体" w:hAnsi="宋体" w:eastAsia="宋体" w:cs="宋体"/>
          <w:b/>
          <w:bCs/>
          <w:color w:val="auto"/>
          <w:sz w:val="24"/>
          <w:szCs w:val="24"/>
          <w:highlight w:val="none"/>
        </w:rPr>
        <w:t xml:space="preserve">证书解密电子投标（响应）文件，如在</w:t>
      </w:r>
      <w:r>
        <w:rPr>
          <w:rFonts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苏采云</w:t>
      </w:r>
      <w:r>
        <w:rPr>
          <w:rFonts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系统规定的时间内未能成功解密的视为放弃参与本项目，投标无效。</w:t>
      </w:r>
      <w:r>
        <w:rPr>
          <w:rFonts w:ascii="宋体" w:hAnsi="宋体" w:eastAsia="宋体" w:cs="宋体"/>
          <w:b/>
          <w:bCs/>
          <w:color w:val="auto"/>
          <w:sz w:val="24"/>
          <w:szCs w:val="24"/>
          <w:highlight w:val="none"/>
        </w:rPr>
        <w:t xml:space="preserve"> </w:t>
      </w:r>
      <w:r/>
    </w:p>
    <w:p>
      <w:pPr>
        <w:pStyle w:val="908"/>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请供应商确保电脑、系统及其他设备（视频输入输出设备等）无误，且开启直至项目结束始终保持系统在线状态。</w:t>
      </w:r>
      <w:r/>
    </w:p>
    <w:p>
      <w:pPr>
        <w:ind w:firstLine="482"/>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六、公告期限</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自本公告发布之日起3个工作日。</w:t>
      </w:r>
      <w:r/>
    </w:p>
    <w:p>
      <w:pPr>
        <w:ind w:firstLine="482"/>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七、其他补充事宜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1、采购项目需要落实的政府采购政策：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促进中小企业发展管理办法》（财库〔2020〕46号）、《关于做好政府采购支持企业发展有关事项的通知》（苏财购〔2020〕52号）及《关于印发&lt;苏州市政府采购促进中小企业发展实施意见&gt;的通知》（苏财购〔2022〕16号）的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《关于政府采购支持监狱企业发展有关问题的通知》（财库〔2014〕68号）。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《关于促进残疾人就业政府采购政策的通知》（财库〔2017〕141号）。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评标过程中如有问题采购代理机构工作人员会及时通过报名时在投标确认函模块留存的手机号与供应商联系。此号码在开标截止之前可修改，以响应文件中投标函保存的最新号码为准，请供应商确保该手机号开评标当日通讯畅通，否则导致的对供应商不利的后果由供应商自行承担。</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3、如不同供应商使用同一台电脑制作的电子响应文件的，双方“文件制作机器码”一致的，则其响应文件将被认定为无效响应。</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4、本项目获取采购文件截止日期之后仍可以下载采购文件，但截止日期之后下载的采购文件，视为非有效方式且不作为供应商权益受到损害的证明材料和依据。</w:t>
      </w:r>
      <w:r/>
    </w:p>
    <w:p>
      <w:pPr>
        <w:ind w:firstLine="480"/>
        <w:spacing w:line="360" w:lineRule="auto"/>
        <w:rPr>
          <w:rFonts w:hint="eastAsia" w:ascii="宋体" w:hAnsi="宋体" w:eastAsia="宋体"/>
          <w:b/>
          <w:bCs/>
          <w:color w:val="auto"/>
          <w:sz w:val="24"/>
          <w:szCs w:val="24"/>
          <w:highlight w:val="none"/>
        </w:rPr>
      </w:pPr>
      <w:r>
        <w:rPr>
          <w:rFonts w:hint="eastAsia" w:ascii="宋体" w:hAnsi="宋体" w:eastAsia="宋体" w:cs="宋体"/>
          <w:color w:val="auto"/>
          <w:sz w:val="24"/>
          <w:szCs w:val="24"/>
          <w:highlight w:val="none"/>
        </w:rPr>
        <w:t xml:space="preserve">5、政府采购监督电话：0512-63982393。</w:t>
      </w:r>
      <w:r/>
    </w:p>
    <w:p>
      <w:pPr>
        <w:ind w:firstLine="482"/>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八、凡对本次采购提出询问，请按以下方式联系。</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1、采购人信息：</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名称：苏州市吴江区自然资源和规划局。</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地址：苏州市吴江区鲈鱼南路1933号。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联系方式：电话0512-63009280。</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项目联系人：钱欢。</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2、采购代理机构信息：</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名称：苏州正杰招投标咨询服务有限公司。</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地址：苏州市平泷路251号苏州城市生活广场B座1557室。</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联系方式：电话0512-62826523。</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项目联系人：徐杰、沈鹰、陈晓梦、刘木兰。</w:t>
      </w:r>
      <w:r/>
    </w:p>
    <w:p>
      <w:pPr>
        <w:pStyle w:val="913"/>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13"/>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13"/>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13"/>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13"/>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95"/>
        <w:rPr>
          <w:rFonts w:hint="eastAsia" w:eastAsia="宋体" w:cs="宋体"/>
          <w:bCs/>
          <w:color w:val="auto"/>
          <w:sz w:val="24"/>
          <w:szCs w:val="24"/>
          <w:highlight w:val="none"/>
        </w:rPr>
      </w:pPr>
      <w:r>
        <w:rPr>
          <w:rFonts w:hint="eastAsia" w:eastAsia="宋体" w:cs="宋体"/>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13"/>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13"/>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第二章 响应须知</w:t>
      </w:r>
      <w:r/>
    </w:p>
    <w:p>
      <w:pPr>
        <w:pStyle w:val="913"/>
        <w:ind w:firstLine="482"/>
        <w:jc w:val="left"/>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1.总则</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b/>
          <w:bCs/>
          <w:color w:val="auto"/>
          <w:sz w:val="24"/>
          <w:szCs w:val="24"/>
          <w:highlight w:val="none"/>
        </w:rPr>
        <w:t xml:space="preserve">1.1</w:t>
      </w:r>
      <w:r>
        <w:rPr>
          <w:rFonts w:hint="eastAsia" w:ascii="宋体" w:hAnsi="宋体" w:eastAsia="宋体" w:cs="宋体"/>
          <w:b/>
          <w:bCs/>
          <w:color w:val="auto"/>
          <w:sz w:val="24"/>
          <w:szCs w:val="24"/>
          <w:highlight w:val="none"/>
        </w:rPr>
        <w:t xml:space="preserve">响应单位资格要求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1.1.1详见第一章</w:t>
      </w:r>
      <w:r>
        <w:rPr>
          <w:rFonts w:hint="eastAsia" w:ascii="宋体" w:hAnsi="宋体" w:eastAsia="宋体" w:cs="宋体"/>
          <w:bCs/>
          <w:color w:val="auto"/>
          <w:sz w:val="24"/>
          <w:szCs w:val="24"/>
          <w:highlight w:val="none"/>
        </w:rPr>
        <w:t xml:space="preserve">竞争性磋商邀请函</w:t>
      </w:r>
      <w:r>
        <w:rPr>
          <w:rFonts w:hint="eastAsia" w:ascii="宋体" w:hAnsi="宋体" w:eastAsia="宋体" w:cs="宋体"/>
          <w:color w:val="auto"/>
          <w:sz w:val="24"/>
          <w:szCs w:val="24"/>
          <w:highlight w:val="none"/>
        </w:rPr>
        <w:t xml:space="preserve">中“二、申请人的资格要求”。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1.1.2响应单位不得存在下列情形之一：</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（1）苏州市财政局《关于印发苏州市市级政府采购信用记录查询和使用工作试行办法的通知》（苏财购（2017）11号）文件规定应拒绝的失信信息。</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（2）为采购项目提供整体设计、规范编制或者项目管理、监理、监测等服务的供应商，不得再参加该采购项目的其他采购活动；本项目的此类供应商是：无。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（3）单位负责人为同一人或者存在直接控股、管理关系的不同供应商，不得参加同一合同项下的政府采购活动。</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1.2分包、转包</w:t>
      </w:r>
      <w:r/>
    </w:p>
    <w:p>
      <w:pPr>
        <w:ind w:left="525"/>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本项目不允许分包或转包。</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1.3投标费用</w:t>
      </w:r>
      <w:r/>
    </w:p>
    <w:p>
      <w:pPr>
        <w:ind w:left="525"/>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1.3.1供应商应自行承担所有准备及参加投标的相关费用。</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1.4保密</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参与采购活动的各方应对采购文件和响应文件中的商业和技术等秘密保密，否则应承担相应的法律责任。</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1.5语言文字</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采购文件响应文件使用的语言文字为中文。使用外文的，应附有中文注释或译本，对不同文本响应文件的解释发生异议的，以中文文本为准。因未附注释或译本引起的对供应商不利的后果由供应商自行承担。</w:t>
      </w:r>
      <w:r/>
    </w:p>
    <w:p>
      <w:pPr>
        <w:ind w:left="5" w:firstLine="520"/>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1.6计量单位</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除采购文件有特殊要求外，所有计量均采用中华人民共和国法定计量单位。</w:t>
      </w:r>
      <w:r/>
    </w:p>
    <w:p>
      <w:pPr>
        <w:ind w:left="5" w:firstLine="520"/>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1.7知识产权</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left="5" w:firstLine="520"/>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2.采购文件的说明</w:t>
      </w:r>
      <w:r/>
    </w:p>
    <w:p>
      <w:pPr>
        <w:ind w:left="5" w:firstLine="520"/>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2.1采购文件的获取</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见第一章竞争性磋商邀请函。</w:t>
      </w:r>
      <w:r/>
    </w:p>
    <w:p>
      <w:pPr>
        <w:ind w:left="5" w:firstLine="520"/>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2.2采购文件的询问</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供应商在收到磋商文件后，若有问题需要询问，应于下载磋商文件后，可通过公告中的联系方式及时提出，采购人或采购代理机构将予以解答。</w:t>
      </w:r>
      <w:r/>
    </w:p>
    <w:p>
      <w:pPr>
        <w:ind w:left="5" w:firstLine="520"/>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2.3采购文件的澄清或修改</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采购人或采购代理机构无论出于自己的考虑，还是出于对供应商提问的澄清，均可对已发出的采购文件用补充通知（包括更正公告）的方式进行澄清或者修改，并通过苏州市政府采购网对外进行发布，但不得改变采购标的和资格条件。澄清或者修改的内容作为采购文件的组成部分，对所有供应商具有约束力。</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2.3.2为保证供应商有足够时间修正响应文件，或出于其他合理原因，采购人或采购代理机构可依法顺延响应截止时间和开启时间。</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供应商应及时关注“苏州市政府采购网”发布的补充通知（包括更正公告），同时可以在“苏采云”系统中下载更正（补充）资料，如有遗漏（包括但不限于文件未下载或下载不完整），可能无法解密投标（响应）文件，由此所造成的投标失败或损失由供应商自行负责。</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2.3.4采购文件的澄清、修改、补充等内容均以苏州市政府采购网上发布的内容为准。</w:t>
      </w:r>
      <w:r/>
    </w:p>
    <w:p>
      <w:pPr>
        <w:ind w:left="5" w:firstLine="520"/>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3.响应文件说明</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响应单位应详细阅读采购文件的全部内容，不按采购文件的要求提供的响应文件和资料，其风险由响应单位自行承担，并根据有关条款规定，可能导致响应无效。</w:t>
      </w:r>
      <w:r/>
    </w:p>
    <w:p>
      <w:pPr>
        <w:ind w:left="5" w:firstLine="520"/>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3.1磋商保证金：无。</w:t>
      </w:r>
      <w:r/>
    </w:p>
    <w:p>
      <w:pPr>
        <w:ind w:left="5" w:firstLine="520"/>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3.2响应文件的组成</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3.2.1封面；</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3.2.2开标一览表（格式见第三章）；</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3.2.3磋商响应明细报价表（如有，格式见第三章）；</w:t>
      </w:r>
      <w:r/>
    </w:p>
    <w:p>
      <w:pPr>
        <w:ind w:left="5" w:firstLine="520"/>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3.2.4资格审查响应文件：</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3.2.4.1</w:t>
      </w:r>
      <w:r>
        <w:rPr>
          <w:rFonts w:hint="eastAsia" w:ascii="宋体" w:hAnsi="宋体" w:eastAsia="宋体"/>
          <w:color w:val="auto"/>
          <w:sz w:val="24"/>
          <w:szCs w:val="24"/>
          <w:highlight w:val="none"/>
        </w:rPr>
        <w:t xml:space="preserve">供应商的资格要求：</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（1）具有独立承担民事责任的能力的材料复印件：包括法人或者其他组织的营业执照等证明文件，自然人的身份证明；</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（2）具有良好的商业信誉和健全的财务会计制度的材料：包括但不限于法人提供2024年度或2025年度经审计的财务报告或基本开户银行在本年度内出具的资信证明复印件；</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（3）具有履行合同所必需的设备和专业技术能力的证明材料复印件或承诺；</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有依法缴纳税收和社会保障资金的良好记录的材料：供应商上一税收申报日缴纳增值税或企业所得税的凭据及上一社保申报日缴纳的社会保险的凭据（专用收据或社会保险缴纳清单），依法免税或不需要缴纳的供应商，应提供对应证明文件复印件；</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（5）参加政府采购活动前三年内，在经营活动中没有出现重大违法记录的书面声明函；</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（6）按照相关法律法规参与本项目所必须取得国家有关主管部门的行政许可证明资料复印件（如有须提供）；</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b w:val="0"/>
          <w:bCs w:val="0"/>
          <w:color w:val="auto"/>
          <w:sz w:val="24"/>
          <w:szCs w:val="24"/>
          <w:highlight w:val="none"/>
        </w:rPr>
        <w:t xml:space="preserve">投标人与其他单位存在控股、管理关系情况表</w:t>
      </w:r>
      <w:r>
        <w:rPr>
          <w:rFonts w:hint="eastAsia" w:ascii="宋体" w:hAnsi="宋体" w:eastAsia="宋体" w:cs="宋体"/>
          <w:color w:val="auto"/>
          <w:sz w:val="24"/>
          <w:szCs w:val="24"/>
          <w:highlight w:val="none"/>
        </w:rPr>
        <w:t xml:space="preserve">。</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3.2.4.2具有有效的乙级测绘资质及以上（专业标准应包含测绘航空摄影、摄影测量与遥感、地理信息系统工程、地图编制）。</w:t>
      </w:r>
      <w:r>
        <w:rPr>
          <w:rFonts w:ascii="SimSun" w:hAnsi="SimSun" w:eastAsia="SimSun" w:cs="SimSun"/>
          <w:color w:val="000000"/>
          <w:sz w:val="24"/>
        </w:rPr>
        <w:t xml:space="preserve">联合体成员均应满足上述特定资质要求。</w:t>
      </w:r>
      <w:r>
        <w:rPr>
          <w:rFonts w:hint="eastAsia" w:ascii="宋体" w:hAnsi="宋体" w:eastAsia="宋体" w:cs="宋体"/>
          <w:color w:val="auto"/>
          <w:sz w:val="24"/>
          <w:szCs w:val="24"/>
          <w:highlight w:val="none"/>
        </w:rPr>
      </w:r>
      <w:r/>
    </w:p>
    <w:p>
      <w:pPr>
        <w:ind w:left="5" w:firstLine="520"/>
        <w:spacing w:line="360" w:lineRule="auto"/>
        <w:tabs>
          <w:tab w:val="left" w:pos="851" w:leader="none"/>
        </w:tabs>
        <w:rPr>
          <w:rFonts w:hint="eastAsia" w:ascii="宋体" w:hAnsi="宋体" w:eastAsia="宋体"/>
          <w:color w:val="auto"/>
          <w:sz w:val="24"/>
          <w:szCs w:val="24"/>
          <w:highlight w:val="none"/>
        </w:rPr>
      </w:pPr>
      <w:r>
        <w:rPr>
          <w:rFonts w:hint="eastAsia" w:ascii="宋体" w:hAnsi="宋体" w:eastAsia="宋体" w:cs="宋体"/>
          <w:b/>
          <w:bCs/>
          <w:color w:val="auto"/>
          <w:sz w:val="24"/>
          <w:szCs w:val="24"/>
          <w:highlight w:val="none"/>
        </w:rPr>
        <w:t xml:space="preserve">3.2.5符合性审查响应文件：</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3.2.5.1磋商响应函（格式见第三章）；</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3.2.5.2关于资格文件的声明函（格式见第三章）；</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3.2.5.3法定代表人身份证复印件；</w:t>
      </w:r>
      <w:r/>
    </w:p>
    <w:p>
      <w:pPr>
        <w:ind w:left="5" w:firstLine="518"/>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3.2.5.4法定代表人授权委托书及授权委托人身份证复印件（如有授权，格式见第三章）；</w:t>
      </w:r>
      <w:r/>
    </w:p>
    <w:p>
      <w:pPr>
        <w:ind w:left="5" w:firstLine="518"/>
        <w:spacing w:line="360" w:lineRule="auto"/>
        <w:tabs>
          <w:tab w:val="left" w:pos="851"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3.2.5.5联合体投标协议书、联合体投标授权委托书</w:t>
      </w:r>
      <w:r>
        <w:rPr>
          <w:rFonts w:hint="eastAsia" w:ascii="宋体" w:hAnsi="宋体" w:eastAsia="宋体" w:cs="宋体"/>
          <w:color w:val="auto"/>
          <w:sz w:val="24"/>
          <w:szCs w:val="24"/>
          <w:highlight w:val="none"/>
          <w:lang w:eastAsia="zh-CN"/>
        </w:rPr>
        <w:t xml:space="preserve">；</w:t>
      </w:r>
      <w:r/>
    </w:p>
    <w:p>
      <w:pPr>
        <w:ind w:left="5" w:firstLine="518"/>
        <w:spacing w:line="360" w:lineRule="auto"/>
        <w:tabs>
          <w:tab w:val="left" w:pos="851"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3.2.5.</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服务和商务偏离表、商务条款偏离表</w:t>
      </w:r>
      <w:r>
        <w:rPr>
          <w:rFonts w:hint="eastAsia" w:ascii="宋体" w:hAnsi="宋体" w:eastAsia="宋体" w:cs="宋体"/>
          <w:color w:val="auto"/>
          <w:sz w:val="24"/>
          <w:szCs w:val="24"/>
          <w:highlight w:val="none"/>
          <w:lang w:eastAsia="zh-CN"/>
        </w:rPr>
        <w:t xml:space="preserve">；</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未被“信用中国”</w:t>
      </w:r>
      <w:r>
        <w:rPr>
          <w:rFonts w:hint="eastAsia" w:ascii="宋体" w:hAnsi="宋体" w:eastAsia="宋体" w:cs="宋体"/>
          <w:color w:val="auto"/>
          <w:sz w:val="24"/>
          <w:szCs w:val="24"/>
          <w:highlight w:val="none"/>
          <w:lang w:eastAsia="zh-CN"/>
        </w:rPr>
        <w:t xml:space="preserve">及</w:t>
      </w:r>
      <w:r>
        <w:rPr>
          <w:rFonts w:hint="eastAsia" w:ascii="宋体" w:hAnsi="宋体" w:eastAsia="宋体" w:cs="宋体"/>
          <w:color w:val="auto"/>
          <w:sz w:val="24"/>
          <w:szCs w:val="24"/>
          <w:highlight w:val="none"/>
        </w:rPr>
        <w:t xml:space="preserve">“中国政府采购网”列入失信被执行人、重大税收违法案件当事人名单、政府采购严重失信行为记录名单的查询记录页面截图；</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对属于《节能产品政府采购品目清单》政府强制采购产品的，须提供该产品有效期内的认证等相关证明材料（若有）；</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《中小企业声明函》或《残疾人福利性单位声明函》或由省级以上监狱管理局、戒毒管理局（含新疆生产建设兵团）出具的属于监狱企业的证明文件。</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其他有关符合性证明的文件（若有）。</w:t>
      </w:r>
      <w:r/>
    </w:p>
    <w:p>
      <w:pPr>
        <w:ind w:left="5" w:firstLine="520"/>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3.2.6综合评审响应文件(见第六章)；</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3.2.7与本次采购相关的其他证明材料。</w:t>
      </w:r>
      <w:r/>
    </w:p>
    <w:p>
      <w:pPr>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注：以上3.2.2-3.2.3项为供应商报价的依据，响应供应商必须提供并加盖电子公章，否则，磋商响应文件将被认定为未实质性响应。</w:t>
      </w:r>
      <w:r/>
    </w:p>
    <w:p>
      <w:pPr>
        <w:ind w:left="5" w:firstLine="520"/>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以上3.2.4.1-3.2.4.2项为资格审查提供的资料，是作为对供应商资格审查、质疑身份认定的依据，响应供应商必须提供并加盖电子公章，否则，磋商响应文件将被认定为不符合资格审查要求。</w:t>
      </w:r>
      <w:r/>
    </w:p>
    <w:p>
      <w:pPr>
        <w:ind w:left="5" w:firstLine="520"/>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以上3.2.5.1-3.2.5.4为符合性审查必须提供的资料，响应供应商必须提供并加盖电子公章，否则，磋商响应文件将被认定为未实质性响应。</w:t>
      </w:r>
      <w:r/>
    </w:p>
    <w:p>
      <w:pPr>
        <w:ind w:left="5" w:firstLine="520"/>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制作电子响应文件时需与响应文件制作软件目录一一对应，将相关资料上传至相应模块。</w:t>
      </w:r>
      <w:r/>
    </w:p>
    <w:p>
      <w:pPr>
        <w:ind w:left="5" w:firstLine="520"/>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供应商应保证上传的响应文件完整、清晰可辨认，若因上传资料过小或模糊不清等无法辨认的都视为该资料未提供。</w:t>
      </w:r>
      <w:r/>
    </w:p>
    <w:p>
      <w:pPr>
        <w:ind w:firstLine="472"/>
        <w:spacing w:line="360" w:lineRule="auto"/>
        <w:tabs>
          <w:tab w:val="left" w:pos="540" w:leader="none"/>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如供应商响应文件中某些条款不响应磋商文件提出的全部服务内容与要求，须在响应文件中逐条列出，未列出的视同响应。</w:t>
      </w:r>
      <w:r/>
    </w:p>
    <w:p>
      <w:pPr>
        <w:ind w:firstLine="482"/>
        <w:spacing w:line="360" w:lineRule="auto"/>
        <w:tabs>
          <w:tab w:val="left" w:pos="142" w:leader="none"/>
          <w:tab w:val="left" w:pos="600" w:leader="none"/>
        </w:tabs>
        <w:rPr>
          <w:color w:val="auto"/>
          <w:highlight w:val="none"/>
        </w:rPr>
      </w:pPr>
      <w:r>
        <w:rPr>
          <w:rFonts w:hint="eastAsia" w:ascii="宋体" w:hAnsi="宋体" w:eastAsia="宋体" w:cs="宋体"/>
          <w:b/>
          <w:color w:val="auto"/>
          <w:sz w:val="24"/>
          <w:szCs w:val="24"/>
          <w:highlight w:val="none"/>
        </w:rPr>
        <w:t xml:space="preserve">如不同供应商使用同一台电脑制作的电子响应文件的，双方“文件制作机器码”一致的，则其响应文件将被认定为无效响应。</w:t>
      </w:r>
      <w:r/>
    </w:p>
    <w:p>
      <w:pPr>
        <w:ind w:left="525"/>
        <w:spacing w:line="360" w:lineRule="auto"/>
        <w:tabs>
          <w:tab w:val="left" w:pos="142" w:leader="none"/>
          <w:tab w:val="left" w:pos="600" w:leader="none"/>
        </w:tabs>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3.3响应报价</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3.3.1响应报价应包括完成本采购项目全部内容的一切费用，除非合同条款中另有规定，响应单位所报价格在合同实施期间不因市场变化因素而变动。</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3.3.2如果采购文件要求分标段投标的，则供应商可以根据自身经营许可范围，选择响应其中部分或者全部标段，但各标段应分别计算填写单价和总价。</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3.3.3供应商应对所投项目的全部内容进行报价，只对其中部分内容报价的，其响应无效。</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3.3.4一项采购内容只允许一个报价，任何有选择性响应报价的，其响应无效。</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3.2.5响应文件报价中的单价和总价全部采用人民币表示，除非另有规定。</w:t>
      </w:r>
      <w:r/>
    </w:p>
    <w:p>
      <w:pPr>
        <w:ind w:left="5" w:firstLine="520"/>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3.3.6任意一次报价（包括首次报价、最后报价）超过磋商文件中规定的预算金额或者最高限价的，其响应文件按无效文件处理。</w:t>
      </w:r>
      <w:r/>
    </w:p>
    <w:p>
      <w:pPr>
        <w:ind w:left="5" w:firstLine="520"/>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3.3.7除因磋商文件修改导致成本增加外，供应商最后报价超过首次报价的（响应文件中的报价），其响应文件按无效文件处理。</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3.3.8报价的大写金额和小写金额不一致的，以大写金额为准。</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3.3.9单价金额小数点或者百分比有明显错位的，以该次报价总价为准。</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3.3.10总价金额与按单价汇总金额不一致的，以单价金额计算结果为准。</w:t>
      </w:r>
      <w:r/>
    </w:p>
    <w:p>
      <w:pPr>
        <w:ind w:left="5" w:firstLine="520"/>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3.4电子响应文件的编制与提交</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3.4.1响应文件编制要求：本项目为网上招投标项目，请供应商插入CA 证书登录“苏采云”系统下载客户端（参与项目页面可下载客户端及客户端使用说明），在客户端编制电子响应文件并进行CA加密。操作步骤详见“苏采云”系统页面提示和《操作手册》。</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3.4.2电子响应文件递交：供应商应当按照《操作手册》指引，在响应文件提交截止时间前完成电子响应文件的上传，未按要求成功上传的响应文件视为未递交。供应商应充分考虑到网络环境、网络带宽等风险因素，如因供应商自身原因造成的电子响应文件上传不成功由供应商自行承担全部责任。</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注：（1）请供应商务必保管好编制递交电子响应文件时使用的CA，如因丢失、损坏等原因更换CA锁时，需重新制作电子响应文件并递交，否则可能无法解密，因此导致的响应失败等不利后果由供应商自行承担。</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本项目在政府采购信息发布媒体上发布了更正（补充）公告，请供应商务必在“苏采云”系统中下载更正（补充）资料，根据更正后的采购文件重新编制电子响应文件并递交，否则可能无法解密，因此导致的响应失败等不利后果由供应商自行承担。</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3.4.3响应文件未按照磋商文件要求加盖CA电子公章的，响应无效。</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3.5响应文件的开启（解密）</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3.5.1线上参加（观看）开标（开启）会方式：登录苏采云系统，点击“开标大厅”，选择对应项目。</w:t>
      </w:r>
      <w:r/>
    </w:p>
    <w:p>
      <w:pPr>
        <w:ind w:left="5" w:firstLine="518"/>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3.5.2供应商应当按照《操作手册》规定，在苏采云系统规定的时间内对磋商响应文件进行解密。等待开标流程进入“解锁环境”，点击“点击立即解密”进行标书解密，解锁完成后及时关注开标大厅，等待后续报价、答疑澄清等提示，</w:t>
      </w:r>
      <w:r>
        <w:rPr>
          <w:rFonts w:hint="eastAsia" w:ascii="宋体" w:hAnsi="宋体" w:eastAsia="宋体" w:cs="宋体"/>
          <w:b/>
          <w:bCs/>
          <w:color w:val="auto"/>
          <w:sz w:val="24"/>
          <w:szCs w:val="24"/>
          <w:highlight w:val="none"/>
        </w:rPr>
        <w:t xml:space="preserve">否则导致的对供应商不利的后果由供应商自行承担。</w:t>
      </w:r>
      <w:r/>
    </w:p>
    <w:p>
      <w:pPr>
        <w:ind w:left="5" w:firstLine="520"/>
        <w:spacing w:line="360" w:lineRule="auto"/>
        <w:tabs>
          <w:tab w:val="left" w:pos="851" w:leader="none"/>
        </w:tabs>
        <w:rPr>
          <w:rFonts w:hint="eastAsia" w:ascii="宋体" w:hAnsi="宋体" w:eastAsia="宋体" w:cs="宋体"/>
          <w:b/>
          <w:bCs/>
          <w:color w:val="auto"/>
          <w:sz w:val="24"/>
          <w:szCs w:val="24"/>
          <w:highlight w:val="none"/>
        </w:rPr>
      </w:pPr>
      <w:r/>
      <w:bookmarkStart w:id="2" w:name="_Hlk154589874"/>
      <w:r>
        <w:rPr>
          <w:rFonts w:hint="eastAsia" w:ascii="宋体" w:hAnsi="宋体" w:eastAsia="宋体" w:cs="宋体"/>
          <w:b/>
          <w:bCs/>
          <w:color w:val="auto"/>
          <w:sz w:val="24"/>
          <w:szCs w:val="24"/>
          <w:highlight w:val="none"/>
        </w:rPr>
        <w:t xml:space="preserve">3.5.3供应商在苏采云系统规定的时间内未成功解密电子响应文件的，响应无效。</w:t>
      </w:r>
      <w:r/>
    </w:p>
    <w:p>
      <w:pPr>
        <w:ind w:left="5" w:firstLine="520"/>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供应商在制作、上传、解密电子标书过程中若遇到问题，请及时联系CA技术人员或“苏采云”系统客服热线，否则由此产生的后果由供应商自行负责。</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3.5.4供应商电脑环境最低要求：谷歌浏览器，版本可直接网上下载最新版本即可。如需收听现场语音需配置放音设备，如视频直播、互动交流使用异常，请刷新网页，如仍无法解决，请联系技术支持。</w:t>
      </w:r>
      <w:bookmarkEnd w:id="2"/>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3.5.5 CA技术咨询服务电话：400-608-6099；</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电子签章技术咨询服务电话：025-83633811、025-83633812、15380932027、15371015030；</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苏州市及区县“苏采云”系统使用指导与咨询：联系电话：13914088964、0512-69820854；智能客服：登录苏采云系统后，联系系统右下方智能客服图标进行咨询。</w:t>
      </w:r>
      <w:r/>
    </w:p>
    <w:p>
      <w:pPr>
        <w:ind w:firstLine="482"/>
        <w:spacing w:line="360" w:lineRule="auto"/>
        <w:tabs>
          <w:tab w:val="left" w:pos="142" w:leader="none"/>
          <w:tab w:val="left" w:pos="6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3.6响应文件的修改和撤回</w:t>
      </w:r>
      <w:r/>
    </w:p>
    <w:p>
      <w:pPr>
        <w:pStyle w:val="96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3.6.1供应商在提交响应文件截止时间前，可以对所递交的响应文件进行补充、修改或者撤回，具体操作方法见《操作手册》。提交响应文件截止时间后供应商不得撤回响应文件。</w:t>
      </w:r>
      <w:r/>
    </w:p>
    <w:p>
      <w:pPr>
        <w:ind w:firstLine="482"/>
        <w:spacing w:line="360" w:lineRule="auto"/>
        <w:tabs>
          <w:tab w:val="left" w:pos="142" w:leader="none"/>
          <w:tab w:val="left" w:pos="6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4.磋商程序</w:t>
      </w:r>
      <w:r/>
    </w:p>
    <w:p>
      <w:pPr>
        <w:ind w:firstLine="482"/>
        <w:spacing w:line="360" w:lineRule="auto"/>
        <w:tabs>
          <w:tab w:val="left" w:pos="142" w:leader="none"/>
          <w:tab w:val="left" w:pos="6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4.1磋商小组</w:t>
      </w:r>
      <w:r/>
    </w:p>
    <w:p>
      <w:pPr>
        <w:pStyle w:val="96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4.1.1采购代理机构负责组织评审工作；磋商小组由相关专家及采购人代表组成，负责具体评审事务，并独立履行法律、法规规定的职责。</w:t>
      </w:r>
      <w:r/>
    </w:p>
    <w:p>
      <w:pPr>
        <w:pStyle w:val="96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4.1.2磋商小组与参加采购活动的供应商存在下列利害关系之一的，应当回避:</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(一)参加采购活动前三年内，与供应商存在劳动关系，或者担任过供应商的董事、监事，或者是供应商的控股股东或实际控制人；</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(二)与供应商的法定代表人或者负责人有夫妻、直系血亲、三代以内旁系血亲或者近姻亲关系；</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(三)与供应商有其他可能影响政府采购活动公平、公正进行的关系。</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磋商小组发现本人与参加采购活动的供应商有利害关系的，应当主动提出回避。采购人或者采购代理机构发现磋商小组与参加采购活动的供应商有利害关系的，应当要求其回避。</w:t>
      </w:r>
      <w:r/>
    </w:p>
    <w:p>
      <w:pPr>
        <w:pStyle w:val="96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pStyle w:val="96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4.1.4磋商小组成员应当按照客观、公正、审慎的原则，根据采购文件规定的评审程序、评审方法和评审标准进行独立评审。</w:t>
      </w:r>
      <w:r/>
    </w:p>
    <w:p>
      <w:pPr>
        <w:ind w:firstLine="482"/>
        <w:spacing w:line="360" w:lineRule="auto"/>
        <w:tabs>
          <w:tab w:val="left" w:pos="142" w:leader="none"/>
          <w:tab w:val="left" w:pos="6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4.2资格审查</w:t>
      </w:r>
      <w:r/>
    </w:p>
    <w:p>
      <w:pPr>
        <w:pStyle w:val="96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4.2.1由磋商小组按磋商文件的资格条件进行资格性审查，</w:t>
      </w:r>
      <w:r>
        <w:rPr>
          <w:rFonts w:hint="eastAsia" w:ascii="宋体" w:hAnsi="宋体" w:eastAsia="宋体" w:cs="宋体"/>
          <w:b/>
          <w:color w:val="auto"/>
          <w:sz w:val="24"/>
          <w:szCs w:val="24"/>
          <w:highlight w:val="none"/>
        </w:rPr>
        <w:t xml:space="preserve">未通过资格审查的响应无效。</w:t>
      </w:r>
      <w:r/>
    </w:p>
    <w:p>
      <w:pPr>
        <w:pStyle w:val="96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4.2.2根据政府采购法及相关法规，以及苏州市财政局《关于印发苏州市市级政府采购信用记录查询和使用工作试行办法的通知》（苏财购（2017）11号）文件的规定，将对供应商进行信用查询。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（1）查询时间：响应文件递交截止时间。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（2）查询渠道：通过“信用中国”及“中国政府采购网” 上的信用信息查询供应商的信用记录。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ind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（4）信用记录使用规则：评审小组在对供应商进行资格性审查时，应根据查询结果对供应商的不良信用记录逐项甄别确认。按照《中华人民共和国政府采购法》第二十二条规定，</w:t>
      </w:r>
      <w:r>
        <w:rPr>
          <w:rFonts w:hint="eastAsia" w:ascii="宋体" w:hAnsi="宋体" w:eastAsia="宋体" w:cs="宋体"/>
          <w:b/>
          <w:bCs/>
          <w:color w:val="auto"/>
          <w:sz w:val="24"/>
          <w:szCs w:val="24"/>
          <w:highlight w:val="none"/>
        </w:rPr>
        <w:t xml:space="preserve">信用记录属于应依法拒绝供应商参加政府采购的失信信息，存在此类失信信息</w:t>
      </w:r>
      <w:r>
        <w:rPr>
          <w:rFonts w:hint="eastAsia" w:ascii="宋体" w:hAnsi="宋体" w:eastAsia="宋体" w:cs="宋体"/>
          <w:b/>
          <w:color w:val="auto"/>
          <w:sz w:val="24"/>
          <w:szCs w:val="24"/>
          <w:highlight w:val="none"/>
        </w:rPr>
        <w:t xml:space="preserve">的供应商的响应文件应按无效文件处理。</w:t>
      </w:r>
      <w:r/>
    </w:p>
    <w:p>
      <w:pPr>
        <w:pStyle w:val="96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4.2.3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p>
    <w:p>
      <w:pPr>
        <w:ind w:firstLine="482"/>
        <w:spacing w:line="360" w:lineRule="auto"/>
        <w:tabs>
          <w:tab w:val="left" w:pos="142" w:leader="none"/>
          <w:tab w:val="left" w:pos="6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4.3磋商</w:t>
      </w:r>
      <w:r/>
    </w:p>
    <w:p>
      <w:pPr>
        <w:pStyle w:val="96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4.3.1本项目采用线上磋商，磋商小组通过苏采云系统向供应商发布“磋商函”，供应商可通过查看【磋商响应】菜单中的待办信息，应当按照要求在苏采云系统提交“磋商响应函”并加盖CA电子公章，</w:t>
      </w:r>
      <w:r>
        <w:rPr>
          <w:rFonts w:hint="eastAsia" w:ascii="宋体" w:hAnsi="宋体" w:eastAsia="宋体" w:cs="宋体"/>
          <w:color w:val="auto"/>
          <w:sz w:val="24"/>
          <w:szCs w:val="24"/>
          <w:highlight w:val="none"/>
          <w:lang w:val="zh-CN"/>
        </w:rPr>
        <w:t xml:space="preserve">具体操作方式见《操作手册》</w:t>
      </w:r>
      <w:r>
        <w:rPr>
          <w:rFonts w:hint="eastAsia" w:ascii="宋体" w:hAnsi="宋体" w:eastAsia="宋体" w:cs="宋体"/>
          <w:color w:val="auto"/>
          <w:sz w:val="24"/>
          <w:szCs w:val="24"/>
          <w:highlight w:val="none"/>
        </w:rPr>
        <w:t xml:space="preserve">。</w:t>
      </w:r>
      <w:r/>
    </w:p>
    <w:p>
      <w:pPr>
        <w:pStyle w:val="96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4.3.2</w:t>
      </w:r>
      <w:r>
        <w:rPr>
          <w:rFonts w:hint="eastAsia" w:ascii="宋体" w:hAnsi="宋体" w:eastAsia="宋体" w:cs="宋体"/>
          <w:color w:val="auto"/>
          <w:sz w:val="24"/>
          <w:szCs w:val="24"/>
          <w:highlight w:val="none"/>
          <w:lang w:val="zh-CN"/>
        </w:rPr>
        <w:t xml:space="preserve">磋商小组认为有必要与供应商进行磋商的，</w:t>
      </w:r>
      <w:r>
        <w:rPr>
          <w:rFonts w:hint="eastAsia" w:ascii="宋体" w:hAnsi="宋体" w:eastAsia="宋体" w:cs="宋体"/>
          <w:color w:val="auto"/>
          <w:sz w:val="24"/>
          <w:szCs w:val="24"/>
          <w:highlight w:val="none"/>
        </w:rPr>
        <w:t xml:space="preserve">磋商供应商按顺序进行磋商。磋商小组所有成员应当集中与单一供应商分别进行磋商，并给予所有参加磋商的供应商平等的磋商机会。</w:t>
      </w:r>
      <w:r/>
    </w:p>
    <w:p>
      <w:pPr>
        <w:pStyle w:val="96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4.3.3在磋商过程中，磋商小组可以根据磋商文件和磋商情况实质性变动采购需求中的技术、服务要求以及合同草案条款，但不得变动磋商文件中的其他内容。实质性变动的内容，须经采购人代表确认。</w:t>
      </w:r>
      <w:r/>
    </w:p>
    <w:p>
      <w:pPr>
        <w:pStyle w:val="96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4.3.4对磋商文件作出的实质性变动是磋商文件的有效组成部分，磋商小组应以书面形式记录具体变动内容并经采购人代表签字确认后及时以书面形式（通过苏采云系统）同时通知所有参加磋商的供应商。</w:t>
      </w:r>
      <w:r/>
    </w:p>
    <w:p>
      <w:pPr>
        <w:pStyle w:val="96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4.3.5供应商应当在规定时间内按照磋商文件的变动情况和磋商小组的要求在苏采云系统中重新提交响应文件，并加盖CA电子公章。重新提交的响应文件按磋商文件进行评审。</w:t>
      </w:r>
      <w:r>
        <w:rPr>
          <w:rFonts w:hint="eastAsia" w:ascii="宋体" w:hAnsi="宋体" w:eastAsia="宋体" w:cs="宋体"/>
          <w:color w:val="auto"/>
          <w:sz w:val="24"/>
          <w:szCs w:val="24"/>
          <w:highlight w:val="none"/>
          <w:lang w:val="zh-CN"/>
        </w:rPr>
        <w:t xml:space="preserve">未按要求重新提交响应文件的按响应无效处理。</w:t>
      </w:r>
      <w:r/>
    </w:p>
    <w:p>
      <w:pPr>
        <w:ind w:firstLine="482"/>
        <w:spacing w:line="360" w:lineRule="auto"/>
        <w:tabs>
          <w:tab w:val="left" w:pos="142" w:leader="none"/>
          <w:tab w:val="left" w:pos="6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4.4澄清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96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4.4.1本项目采用线上澄清。</w:t>
      </w:r>
      <w:r/>
    </w:p>
    <w:p>
      <w:pPr>
        <w:pStyle w:val="96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w:t>
      </w:r>
      <w:r>
        <w:rPr>
          <w:rFonts w:hint="eastAsia" w:ascii="宋体" w:hAnsi="宋体" w:eastAsia="宋体" w:cs="宋体"/>
          <w:color w:val="auto"/>
          <w:sz w:val="24"/>
          <w:szCs w:val="24"/>
          <w:highlight w:val="none"/>
          <w:lang w:val="zh-CN"/>
        </w:rPr>
        <w:t xml:space="preserve">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pStyle w:val="96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4.4.3接到磋商小组澄清、说明和更正要求的供应商如未按规定做出澄清、说明和更正，其风险由供应商自行承担。</w:t>
      </w:r>
      <w:r/>
    </w:p>
    <w:p>
      <w:pPr>
        <w:ind w:firstLine="482"/>
        <w:spacing w:line="360" w:lineRule="auto"/>
        <w:tabs>
          <w:tab w:val="left" w:pos="142" w:leader="none"/>
          <w:tab w:val="left" w:pos="6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4.5最后报价</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4.5.1磋商结束后，磋商小组应当要求所有继续参加磋商的供应商在规定时间内提交最后报价（</w:t>
      </w:r>
      <w:r>
        <w:rPr>
          <w:rFonts w:hint="eastAsia" w:ascii="宋体" w:hAnsi="宋体" w:eastAsia="宋体" w:cs="宋体"/>
          <w:b/>
          <w:color w:val="auto"/>
          <w:sz w:val="24"/>
          <w:szCs w:val="24"/>
          <w:highlight w:val="none"/>
        </w:rPr>
        <w:t xml:space="preserve">除因磋商文件修改导致成本增加，最后报价不得超过一次报价，否则为无效响应报价</w:t>
      </w:r>
      <w:r>
        <w:rPr>
          <w:rFonts w:hint="eastAsia" w:ascii="宋体" w:hAnsi="宋体" w:eastAsia="宋体" w:cs="宋体"/>
          <w:color w:val="auto"/>
          <w:sz w:val="24"/>
          <w:szCs w:val="24"/>
          <w:highlight w:val="none"/>
        </w:rPr>
        <w:t xml:space="preserve">），最后报价作为评审价格（各磋商供应商可提供最后报价总价或最后报价总价的明细报价；若未提供明细报价的则合同单价按最终报价与第一次报价总价的下浮比例同比例下浮）。</w:t>
      </w:r>
      <w:r>
        <w:rPr>
          <w:rFonts w:hint="eastAsia" w:ascii="宋体" w:hAnsi="宋体" w:eastAsia="宋体" w:cs="宋体"/>
          <w:color w:val="auto"/>
          <w:sz w:val="24"/>
          <w:szCs w:val="24"/>
          <w:highlight w:val="none"/>
          <w:lang w:val="zh-CN"/>
        </w:rPr>
        <w:t xml:space="preserve">最后报价是供应商响应文件的有效组成部分。</w:t>
      </w:r>
      <w:r/>
    </w:p>
    <w:p>
      <w:pPr>
        <w:ind w:left="5" w:firstLine="518"/>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4.5.2本项目采用线上最后报价：磋商小组将在苏采云系统中向符合条件的供应商发布“最后报价要求函”及分项报价表，要求其在规定时间内提交最后报价。因供应商自身原因导致线上报价失败的后果由供应商自行承担。</w:t>
      </w:r>
      <w:r>
        <w:rPr>
          <w:rFonts w:hint="eastAsia" w:ascii="宋体" w:hAnsi="宋体" w:eastAsia="宋体" w:cs="宋体"/>
          <w:b/>
          <w:bCs/>
          <w:color w:val="auto"/>
          <w:sz w:val="24"/>
          <w:szCs w:val="24"/>
          <w:highlight w:val="none"/>
        </w:rPr>
        <w:t xml:space="preserve">供应商未在磋商小组规定的时间内在苏采云系统中提交最后报价的视为放弃磋商，其响应文件按无效响应处理，提交最后报价须加盖CA电子公章，否则视为未提交最后报价。</w:t>
      </w:r>
      <w:r>
        <w:rPr>
          <w:rFonts w:hint="eastAsia" w:ascii="宋体" w:hAnsi="宋体" w:eastAsia="宋体" w:cs="宋体"/>
          <w:color w:val="auto"/>
          <w:sz w:val="24"/>
          <w:szCs w:val="24"/>
          <w:highlight w:val="none"/>
        </w:rPr>
        <w:t xml:space="preserve">已提交响应文件的供应商，在提交最后报价之前，可以根据磋商情况退出磋商，并在苏采云系统中提交“退出磋商函”并加盖CA电子公章。</w:t>
      </w:r>
      <w:r/>
    </w:p>
    <w:p>
      <w:pPr>
        <w:ind w:left="5" w:firstLine="518"/>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提前熟悉线上报价操作方法：若评审组长发起最后报价，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ind w:left="5" w:firstLine="518"/>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4.5.3磋商小组认为某最后报价明显低于其他供应商的最后报价，有可能影响产品质量或者不能诚信履约的，应当要求其在谈判/磋商现场合理的时间内提供书面说明</w:t>
      </w:r>
      <w:bookmarkStart w:id="3" w:name="_Hlk132385548"/>
      <w:r>
        <w:rPr>
          <w:rFonts w:hint="eastAsia" w:ascii="宋体" w:hAnsi="宋体" w:eastAsia="宋体" w:cs="宋体"/>
          <w:color w:val="auto"/>
          <w:sz w:val="24"/>
          <w:szCs w:val="24"/>
          <w:highlight w:val="none"/>
        </w:rPr>
        <w:t xml:space="preserve">（线上开评标项目可通过苏采云系统要求其提供）</w:t>
      </w:r>
      <w:bookmarkEnd w:id="3"/>
      <w:r>
        <w:rPr>
          <w:rFonts w:hint="eastAsia" w:ascii="宋体" w:hAnsi="宋体" w:eastAsia="宋体" w:cs="宋体"/>
          <w:color w:val="auto"/>
          <w:sz w:val="24"/>
          <w:szCs w:val="24"/>
          <w:highlight w:val="none"/>
        </w:rPr>
        <w:t xml:space="preserve">，必要时提交相关证明材料；供应商不能证明其报价合理性的，</w:t>
      </w:r>
      <w:r>
        <w:rPr>
          <w:rFonts w:hint="eastAsia" w:ascii="宋体" w:hAnsi="宋体" w:eastAsia="宋体" w:cs="宋体"/>
          <w:b/>
          <w:bCs/>
          <w:color w:val="auto"/>
          <w:sz w:val="24"/>
          <w:szCs w:val="24"/>
          <w:highlight w:val="none"/>
        </w:rPr>
        <w:t xml:space="preserve">磋商小组应当将其响应文件按无效处理。</w:t>
      </w:r>
      <w:r/>
    </w:p>
    <w:p>
      <w:pPr>
        <w:ind w:left="5" w:firstLine="518"/>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4.5.3</w:t>
      </w:r>
      <w:r>
        <w:rPr>
          <w:rFonts w:ascii="宋体" w:hAnsi="宋体" w:eastAsia="宋体" w:cs="宋体"/>
          <w:color w:val="auto"/>
          <w:sz w:val="24"/>
          <w:szCs w:val="24"/>
          <w:highlight w:val="none"/>
        </w:rPr>
        <w:t xml:space="preserve">评审过程中出现下列情形之一的，评审委员会</w:t>
      </w:r>
      <w:r>
        <w:rPr>
          <w:rFonts w:hint="eastAsia" w:ascii="宋体" w:hAnsi="宋体" w:eastAsia="宋体" w:cs="宋体"/>
          <w:color w:val="auto"/>
          <w:sz w:val="24"/>
          <w:szCs w:val="24"/>
          <w:highlight w:val="none"/>
        </w:rPr>
        <w:t xml:space="preserve">（磋商小组）</w:t>
      </w:r>
      <w:r>
        <w:rPr>
          <w:rFonts w:ascii="宋体" w:hAnsi="宋体" w:eastAsia="宋体" w:cs="宋体"/>
          <w:color w:val="auto"/>
          <w:sz w:val="24"/>
          <w:szCs w:val="24"/>
          <w:highlight w:val="none"/>
        </w:rPr>
        <w:t xml:space="preserve">应当启动异常低价投标（响应）审查程序：</w:t>
      </w:r>
      <w:r/>
    </w:p>
    <w:p>
      <w:pPr>
        <w:ind w:left="5" w:firstLine="518"/>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①投标(响应)报价低于全部通过符合性审查供应商投标(响应)报价平均值50％的，即投标(响应)报价＜全部通过符合性审查供应商投标(响应)报价平均值×50％</w:t>
      </w:r>
      <w:r>
        <w:rPr>
          <w:rFonts w:ascii="宋体" w:hAnsi="宋体" w:eastAsia="宋体" w:cs="宋体"/>
          <w:color w:val="auto"/>
          <w:sz w:val="24"/>
          <w:szCs w:val="24"/>
          <w:highlight w:val="none"/>
        </w:rPr>
        <w:t xml:space="preserve">；</w:t>
      </w:r>
      <w:r/>
    </w:p>
    <w:p>
      <w:pPr>
        <w:ind w:left="5" w:firstLine="518"/>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②投标(响应)报价低于通过符合性审查的次低报价供应商投标(响应)报价50％的，即投标(响应)报价＜通过符合性审查的次低报价供应商投标(响应)报价×50％</w:t>
      </w:r>
      <w:r>
        <w:rPr>
          <w:rFonts w:ascii="宋体" w:hAnsi="宋体" w:eastAsia="宋体" w:cs="宋体"/>
          <w:color w:val="auto"/>
          <w:sz w:val="24"/>
          <w:szCs w:val="24"/>
          <w:highlight w:val="none"/>
        </w:rPr>
        <w:t xml:space="preserve">； </w:t>
      </w:r>
      <w:r/>
    </w:p>
    <w:p>
      <w:pPr>
        <w:ind w:left="5" w:firstLine="518"/>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③投标(响应)报价低于采购项目最高限价45％的，即投标(响应)报价＜采购项目最高限价×45％；</w:t>
      </w:r>
      <w:r/>
    </w:p>
    <w:p>
      <w:pPr>
        <w:ind w:left="5" w:firstLine="518"/>
        <w:spacing w:line="360" w:lineRule="auto"/>
        <w:tabs>
          <w:tab w:val="left" w:pos="0" w:leader="none"/>
        </w:tabs>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④评审委员会</w:t>
      </w:r>
      <w:r>
        <w:rPr>
          <w:rFonts w:hint="eastAsia" w:ascii="宋体" w:hAnsi="宋体" w:eastAsia="宋体" w:cs="宋体"/>
          <w:color w:val="auto"/>
          <w:sz w:val="24"/>
          <w:szCs w:val="24"/>
          <w:highlight w:val="none"/>
        </w:rPr>
        <w:t xml:space="preserve">（磋商小组）</w:t>
      </w:r>
      <w:r>
        <w:rPr>
          <w:rFonts w:ascii="宋体" w:hAnsi="宋体" w:eastAsia="宋体" w:cs="宋体"/>
          <w:color w:val="auto"/>
          <w:sz w:val="24"/>
          <w:szCs w:val="24"/>
          <w:highlight w:val="none"/>
        </w:rPr>
        <w:t xml:space="preserve">基于专业判断，认为供应商报价过低，有可能影响产品质量或者不能诚信履约的其他情形</w:t>
      </w:r>
      <w:r>
        <w:rPr>
          <w:rFonts w:hint="eastAsia" w:ascii="宋体" w:hAnsi="宋体" w:eastAsia="宋体" w:cs="宋体"/>
          <w:color w:val="auto"/>
          <w:sz w:val="24"/>
          <w:szCs w:val="24"/>
          <w:highlight w:val="none"/>
        </w:rPr>
        <w:t xml:space="preserve">。</w:t>
      </w:r>
      <w:r/>
    </w:p>
    <w:p>
      <w:pPr>
        <w:ind w:left="5" w:firstLine="518"/>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4.5.4启动异常低价投标审查后，评标委员会（磋商小组）应当要求相关供应商在评标现场合理的时间内对投标价格作出解释，提供项目具体成本测算等与报价合理性相关的书面说明及相关证明材料，包括但不限于原材料成本、人工成本、制造费用等，给予相关供应商的合理时间一般不少于30分钟。其中，属于4.5.3第③项情形，供应商已随投标文件一并提交相关书面说明及必要的证明材料的，在评审现场可不再重复提交。</w:t>
      </w:r>
      <w:r/>
    </w:p>
    <w:p>
      <w:pPr>
        <w:pStyle w:val="96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4.5.5评标委员会（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投标处理。</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4.5.6异常低价投标（响应）审查的启动原因、审查意见和审查结果应当在评审报告中记录，并随供应商提供的相关书面说明及证明材料等一并归档。</w:t>
      </w:r>
      <w:r/>
    </w:p>
    <w:p>
      <w:pPr>
        <w:pStyle w:val="96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4.5.7评标委员会（磋商小组）成员对需要共同认定的事项存在争议的，应当按照少数服从多数的原则作出结论。持不同意见的评标委员会成员应当在评标报告上签署不同意见及理由，否则视为同意评标报告。</w:t>
      </w:r>
      <w:r/>
    </w:p>
    <w:p>
      <w:pPr>
        <w:pStyle w:val="967"/>
        <w:ind w:left="420"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4.5.8未在规定时间提交最后报价的，响应文件按无效处理。</w:t>
      </w:r>
      <w:r/>
    </w:p>
    <w:p>
      <w:pPr>
        <w:pStyle w:val="967"/>
        <w:ind w:left="420"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4.5.9在规定时间内提交最后报价的供应商少于3家的，项目终止。</w:t>
      </w:r>
      <w:r/>
    </w:p>
    <w:p>
      <w:pPr>
        <w:pStyle w:val="96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4.5.10如磋商过程中出现本磋商文件未尽事宜，由磋商小组根据政府采购有关法律、法规讨论决定。</w:t>
      </w:r>
      <w:r/>
    </w:p>
    <w:p>
      <w:pPr>
        <w:pStyle w:val="967"/>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5.成交</w:t>
      </w:r>
      <w:r/>
    </w:p>
    <w:p>
      <w:pPr>
        <w:pStyle w:val="96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本项目评标方法采用综合评分法，即指响应文件满足采购文件全部实质性要求，且按照评审因素的量化指标评审得分最高的供应商为成交候选人的评标方法。磋商小组应当根据综合评分情况，按照评审得分由高到底顺序推荐3名以上成交候选供应商，评审得分相同的，按照最后报价由低到高的顺序推荐，评审得分且最后报价相同的，则由磋商小组组织抽签确定成交候选人顺序。</w:t>
      </w:r>
      <w:r/>
    </w:p>
    <w:p>
      <w:pPr>
        <w:pStyle w:val="96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5.2本项目由采购人书面授权磋商小组直接确定成交供应商，并将结果通知所有参加磋商的供应商。</w:t>
      </w:r>
      <w:r/>
    </w:p>
    <w:p>
      <w:pPr>
        <w:pStyle w:val="96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5.3采购人或者采购代理机构应当在成交供应商确定后2个工作日内，在政府采购信息媒体上发布成交结果，成交公告期限为1个工作日。</w:t>
      </w:r>
      <w:r/>
    </w:p>
    <w:p>
      <w:pPr>
        <w:pStyle w:val="96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5.4采购人或采购代理机构根据相关规定发布成交公告，成交公告发出的同时应当向成交供应商发出《成交通知书》</w:t>
      </w:r>
      <w:bookmarkStart w:id="4" w:name="_Hlk132385577"/>
      <w:r/>
      <w:bookmarkStart w:id="5" w:name="_Hlk132385599"/>
      <w:r/>
      <w:bookmarkStart w:id="6" w:name="_Hlk132389804"/>
      <w:r>
        <w:rPr>
          <w:rFonts w:hint="eastAsia" w:ascii="宋体" w:hAnsi="宋体" w:eastAsia="宋体" w:cs="宋体"/>
          <w:color w:val="auto"/>
          <w:sz w:val="24"/>
          <w:szCs w:val="24"/>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4"/>
      <w:r/>
      <w:bookmarkEnd w:id="5"/>
      <w:r/>
      <w:bookmarkEnd w:id="6"/>
      <w:r>
        <w:rPr>
          <w:rFonts w:hint="eastAsia" w:ascii="宋体" w:hAnsi="宋体" w:eastAsia="宋体" w:cs="宋体"/>
          <w:color w:val="auto"/>
          <w:sz w:val="24"/>
          <w:szCs w:val="24"/>
          <w:highlight w:val="none"/>
        </w:rPr>
        <w:t xml:space="preserve">对未通过资格性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pStyle w:val="96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5.5成交通知书发出后，采购人不得违法改变成交结果，成交供应商无正当理由不得放弃成交。</w:t>
      </w:r>
      <w:r/>
    </w:p>
    <w:p>
      <w:pPr>
        <w:ind w:firstLine="482"/>
        <w:spacing w:line="360" w:lineRule="auto"/>
        <w:tabs>
          <w:tab w:val="left" w:pos="142" w:leader="none"/>
          <w:tab w:val="left" w:pos="6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6.履约保证金：</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见第五章合同文本履约保证金条款。</w:t>
      </w:r>
      <w:r/>
    </w:p>
    <w:p>
      <w:pPr>
        <w:ind w:firstLine="482"/>
        <w:spacing w:line="360" w:lineRule="auto"/>
        <w:tabs>
          <w:tab w:val="left" w:pos="142" w:leader="none"/>
          <w:tab w:val="left" w:pos="6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7.项目终止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出现下列情形之一的，采购人或者采购代理机构应当终止竞争性磋商采购活动，发布项目终止公告并说明原因，重新开展采购活动：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（1）因情况变化，不再符合规定的竞争性磋商采购方式适用情形的；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（2）出现影响采购公正的违法、违规行为的；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（3）在采购过程中符合竞争要求的供应商或者报价未超过采购预算的供应商不足3家的，但符合《政府采购竞争性磋商采购方式管理暂行办法》第三条第四项的情形除外。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项目终止后，采购代理机构应当将项目终止的理由告知所有供应商。</w:t>
      </w:r>
      <w:r/>
    </w:p>
    <w:p>
      <w:pPr>
        <w:ind w:firstLine="482"/>
        <w:spacing w:line="360" w:lineRule="auto"/>
        <w:tabs>
          <w:tab w:val="left" w:pos="142" w:leader="none"/>
          <w:tab w:val="left" w:pos="6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8.1采购人应当自成交通知书发出之日起15日内（最迟30日内</w:t>
      </w:r>
      <w:r>
        <w:rPr>
          <w:rFonts w:hint="eastAsia"/>
          <w:color w:val="auto"/>
          <w:szCs w:val="21"/>
          <w:highlight w:val="none"/>
        </w:rPr>
        <w:t xml:space="preserve">）</w:t>
      </w:r>
      <w:r>
        <w:rPr>
          <w:rFonts w:hint="eastAsia" w:ascii="宋体" w:hAnsi="宋体" w:eastAsia="宋体" w:cs="宋体"/>
          <w:color w:val="auto"/>
          <w:sz w:val="24"/>
          <w:szCs w:val="24"/>
          <w:highlight w:val="none"/>
        </w:rPr>
        <w:t xml:space="preserve">，按照采购文件及响应文件规定与成交单位签订书面合同。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8.3采购人不得向成交供应商提出任何不合理的要求作为签订合同的条件，不得与成交供应商私下订立背离合同实质性内容的协议。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8.4依据《政府采购促进中小企业发展管理办法》（财库〔2020〕46号）规定，享受扶持政策获得政府采购合同的，小微企业不得将合同分包给大中型企业，中型企业不得将合同分包给大型企业。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8.5成交供应商无正当理由不得放弃成交。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82"/>
        <w:spacing w:line="360" w:lineRule="auto"/>
        <w:tabs>
          <w:tab w:val="left" w:pos="142" w:leader="none"/>
          <w:tab w:val="left" w:pos="6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9.1质疑及答复遵守《政府采购质疑和投诉办法》（中华人民共和国财政部令第94号）规定。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供应商认为采购文件、采购过程和中标、成交结果使自己的权益受到损害的，可以在知道或者应知其权益受到损害之日起七个工作日内，根据《政府采购质疑和投诉办法》（中华人民共和国财政部令第94号）以书面形式向采购人、代理机构提出质疑。采购代理机构应当在收到供应商书面质疑函后七个工作日内作出答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9.3供应商应当在法定质疑期内一次性提出针对同一采购程序环节的质疑。供应商如在法定期限内对同一采购程序环节提出多次质疑的，采购代理机构、采购人将只对供应商第一次质疑作出答复。</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9.4对采购文件内容质疑时，需提供在苏采云系统中下载本项目磋商文件的《投标供应商确认函》，未提供的视为未依照采购公告要求获取磋商文件的供应商，不具备对该政府采购项目提出质疑的法定权利。</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9.5接收质疑函的方式为书面形式（当场送达或邮寄方式）</w:t>
      </w:r>
      <w:r>
        <w:rPr>
          <w:rFonts w:hint="eastAsia" w:ascii="宋体" w:hAnsi="宋体" w:eastAsia="宋体" w:cs="宋体"/>
          <w:bCs/>
          <w:color w:val="auto"/>
          <w:sz w:val="24"/>
          <w:szCs w:val="24"/>
          <w:highlight w:val="none"/>
        </w:rPr>
        <w:t xml:space="preserve">向采购人、采购代理机构提出质疑，联系人、联系电话和通讯地址等信息以采购公告中本次采购活动联系事项为准</w:t>
      </w:r>
      <w:r>
        <w:rPr>
          <w:rFonts w:hint="eastAsia" w:ascii="宋体" w:hAnsi="宋体" w:eastAsia="宋体" w:cs="宋体"/>
          <w:color w:val="auto"/>
          <w:sz w:val="24"/>
          <w:szCs w:val="24"/>
          <w:highlight w:val="none"/>
        </w:rPr>
        <w:t xml:space="preserve">。供应商质疑函范本格式请参照“苏州市政府采购”网站——“下载中心”——“</w:t>
      </w:r>
      <w:r>
        <w:rPr>
          <w:color w:val="auto"/>
          <w:highlight w:val="none"/>
        </w:rPr>
        <w:fldChar w:fldCharType="begin"/>
      </w:r>
      <w:r>
        <w:rPr>
          <w:color w:val="auto"/>
          <w:highlight w:val="none"/>
        </w:rPr>
        <w:instrText xml:space="preserve"> HYPERLINK "http://czju.suzhou.gov.cn/zfcg/html/content/20180305093615738.shtml" \t "http://czju.suzhou.gov.cn/zfcg/html/channel/_blank" \o "政府采购供应商质疑函范本" </w:instrText>
      </w:r>
      <w:r>
        <w:rPr>
          <w:color w:val="auto"/>
          <w:highlight w:val="none"/>
        </w:rPr>
        <w:fldChar w:fldCharType="separate"/>
      </w:r>
      <w:r>
        <w:rPr>
          <w:rFonts w:hint="eastAsia" w:ascii="宋体" w:hAnsi="宋体" w:eastAsia="宋体" w:cs="宋体"/>
          <w:color w:val="auto"/>
          <w:sz w:val="24"/>
          <w:szCs w:val="24"/>
          <w:highlight w:val="none"/>
        </w:rPr>
        <w:t xml:space="preserve">政府采购供应商质疑函范本</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ind w:firstLine="52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10.响应文件的有效期</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10.1响应文件的有效期自提交响应文件的截止之日起九十天，响应文件应保持有效。响应文件的有效期不明确或短于上述规定期限的，响应文件无效。</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10.2在特殊情况下，采购人可与供应商协商延长响应文件的有效期，这种要求和答复都应以书面形式进行。</w:t>
      </w:r>
      <w:r/>
    </w:p>
    <w:p>
      <w:pPr>
        <w:ind w:firstLine="52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11.代理服务费：</w:t>
      </w:r>
      <w:r>
        <w:rPr>
          <w:rFonts w:hint="eastAsia" w:ascii="宋体" w:hAnsi="宋体" w:eastAsia="宋体" w:cs="宋体"/>
          <w:b/>
          <w:color w:val="auto"/>
          <w:sz w:val="24"/>
          <w:szCs w:val="24"/>
          <w:highlight w:val="none"/>
          <w:lang w:val="en-US" w:eastAsia="zh-CN"/>
        </w:rPr>
        <w:t xml:space="preserve">按照最新</w:t>
      </w:r>
      <w:r>
        <w:rPr>
          <w:rFonts w:hint="eastAsia" w:ascii="宋体" w:hAnsi="宋体" w:eastAsia="宋体" w:cs="宋体"/>
          <w:b/>
          <w:i w:val="0"/>
          <w:iCs w:val="0"/>
          <w:caps w:val="0"/>
          <w:color w:val="auto"/>
          <w:spacing w:val="0"/>
          <w:sz w:val="24"/>
          <w:szCs w:val="24"/>
          <w:highlight w:val="none"/>
        </w:rPr>
        <w:t xml:space="preserve">江苏省财政厅《关于进一步规范政府采购活动相关费用管理的通知》（苏财规〔2026〕1号）</w:t>
      </w:r>
      <w:r>
        <w:rPr>
          <w:rFonts w:hint="eastAsia" w:ascii="宋体" w:hAnsi="宋体" w:eastAsia="宋体" w:cs="宋体"/>
          <w:b/>
          <w:i w:val="0"/>
          <w:iCs w:val="0"/>
          <w:caps w:val="0"/>
          <w:color w:val="auto"/>
          <w:spacing w:val="0"/>
          <w:sz w:val="24"/>
          <w:szCs w:val="24"/>
          <w:highlight w:val="none"/>
          <w:lang w:eastAsia="zh-CN"/>
        </w:rPr>
        <w:t xml:space="preserve">，</w:t>
      </w:r>
      <w:r>
        <w:rPr>
          <w:rFonts w:hint="eastAsia" w:ascii="宋体" w:hAnsi="宋体" w:eastAsia="宋体" w:cs="宋体"/>
          <w:b/>
          <w:color w:val="auto"/>
          <w:sz w:val="24"/>
          <w:szCs w:val="24"/>
          <w:highlight w:val="none"/>
        </w:rPr>
        <w:t xml:space="preserve">政府采购代理费由</w:t>
      </w:r>
      <w:r>
        <w:rPr>
          <w:rFonts w:hint="eastAsia" w:ascii="宋体" w:hAnsi="宋体" w:eastAsia="宋体" w:cs="宋体"/>
          <w:b/>
          <w:color w:val="auto"/>
          <w:sz w:val="24"/>
          <w:szCs w:val="24"/>
          <w:highlight w:val="none"/>
          <w:lang w:val="en-US" w:eastAsia="zh-CN"/>
        </w:rPr>
        <w:t xml:space="preserve">采购单位支付</w:t>
      </w:r>
      <w:r>
        <w:rPr>
          <w:rFonts w:hint="eastAsia" w:ascii="宋体" w:hAnsi="宋体" w:eastAsia="宋体" w:cs="宋体"/>
          <w:b/>
          <w:color w:val="auto"/>
          <w:sz w:val="24"/>
          <w:szCs w:val="24"/>
          <w:highlight w:val="none"/>
        </w:rPr>
        <w:t xml:space="preserve">。</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11.1代理服务费以采购预算金额为基数依据，按如下规定的标准和差额定率累进法进行计算收取：</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预算金额100万元以下部分，费率为该部分预算金额的1.5％；</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预算金额100万元（含）－500万元部分，费率为该部分预算金额的1.1％；</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预算金额500万元（含）－1000万元部分，费率为该部分预算金额的0.8％；</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预算金额1000万元（含）－5000万元部分，费率为该部分预算金额的0.5％；</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预算金额5000万元以上部分，费率为该部分预算金额的0.25％。</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本项目代理服务费（人民币）：4</w:t>
      </w:r>
      <w:r>
        <w:rPr>
          <w:rFonts w:hint="eastAsia" w:ascii="宋体" w:hAnsi="宋体" w:eastAsia="宋体" w:cs="宋体"/>
          <w:bCs/>
          <w:color w:val="auto"/>
          <w:sz w:val="24"/>
          <w:szCs w:val="24"/>
          <w:highlight w:val="none"/>
          <w:lang w:val="en-US" w:eastAsia="zh-CN"/>
        </w:rPr>
        <w:t xml:space="preserve">1730</w:t>
      </w:r>
      <w:r>
        <w:rPr>
          <w:rFonts w:hint="eastAsia" w:ascii="宋体" w:hAnsi="宋体" w:eastAsia="宋体" w:cs="宋体"/>
          <w:bCs/>
          <w:color w:val="auto"/>
          <w:sz w:val="24"/>
          <w:szCs w:val="24"/>
          <w:highlight w:val="none"/>
        </w:rPr>
        <w:t xml:space="preserve">.00元。</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11.2采购代理机构服务费账号如下：</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收款单位：苏州正杰招投标咨询服务有限公司。</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银行账号：89190154740002582。</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开户银行：上海浦东发展银行苏州姑苏支行。</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11.3采购单位如果未按上述规定缴纳成交服务费，采购代理机构将保留诉讼的权利。</w:t>
      </w:r>
      <w:r/>
    </w:p>
    <w:p>
      <w:pPr>
        <w:ind w:firstLine="52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12.其他事项</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按《中华人民共和国政府采购法》及其他有关法律法规的规定执行。</w:t>
      </w:r>
      <w:r/>
    </w:p>
    <w:p>
      <w:pPr>
        <w:ind w:firstLine="52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本项目专家评审费由采购单位承担。</w:t>
      </w:r>
      <w:r/>
    </w:p>
    <w:p>
      <w:pPr>
        <w:pStyle w:val="908"/>
        <w:ind w:firstLine="0"/>
        <w:jc w:val="cente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908"/>
        <w:ind w:firstLine="0"/>
        <w:jc w:val="cente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908"/>
        <w:ind w:firstLine="0"/>
        <w:jc w:val="cente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908"/>
        <w:ind w:firstLine="0"/>
        <w:jc w:val="cente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908"/>
        <w:ind w:firstLine="0"/>
        <w:jc w:val="cente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908"/>
        <w:ind w:firstLine="0"/>
        <w:jc w:val="cente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908"/>
        <w:ind w:firstLine="0"/>
        <w:jc w:val="cente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908"/>
        <w:ind w:firstLine="0"/>
        <w:jc w:val="cente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908"/>
        <w:ind w:firstLine="0"/>
        <w:jc w:val="cente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908"/>
        <w:ind w:firstLine="0"/>
        <w:jc w:val="cente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908"/>
        <w:ind w:firstLine="0"/>
        <w:jc w:val="cente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908"/>
        <w:ind w:firstLine="0"/>
        <w:jc w:val="cente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908"/>
        <w:ind w:firstLine="0"/>
        <w:jc w:val="cente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908"/>
        <w:ind w:firstLine="0"/>
        <w:jc w:val="center"/>
        <w:spacing w:line="360" w:lineRule="auto"/>
        <w:rPr>
          <w:rFonts w:hint="eastAsia" w:ascii="宋体" w:hAnsi="宋体" w:eastAsia="宋体" w:cs="宋体"/>
          <w:b/>
          <w:bCs/>
          <w:color w:val="auto"/>
          <w:highlight w:val="none"/>
        </w:rPr>
      </w:pPr>
      <w:r>
        <w:rPr>
          <w:rFonts w:hint="eastAsia" w:ascii="宋体" w:hAnsi="宋体" w:eastAsia="宋体" w:cs="宋体"/>
          <w:b/>
          <w:color w:val="auto"/>
          <w:szCs w:val="24"/>
          <w:highlight w:val="none"/>
        </w:rPr>
      </w:r>
      <w:r>
        <w:rPr>
          <w:rFonts w:hint="eastAsia" w:ascii="宋体" w:hAnsi="宋体" w:eastAsia="宋体" w:cs="宋体"/>
          <w:b/>
          <w:color w:val="auto"/>
          <w:szCs w:val="24"/>
          <w:highlight w:val="none"/>
        </w:rPr>
      </w:r>
      <w:r/>
    </w:p>
    <w:p>
      <w:pPr>
        <w:pStyle w:val="908"/>
        <w:ind w:firstLine="0"/>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rPr>
          <w:rFonts w:hint="eastAsia" w:ascii="宋体" w:hAnsi="宋体" w:eastAsia="宋体" w:cs="宋体"/>
          <w:b/>
          <w:bCs/>
          <w:color w:val="auto"/>
          <w:highlight w:val="none"/>
        </w:rPr>
      </w:r>
      <w:r/>
    </w:p>
    <w:p>
      <w:pPr>
        <w:pStyle w:val="908"/>
        <w:ind w:firstLine="0"/>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rPr>
          <w:rFonts w:hint="eastAsia" w:ascii="宋体" w:hAnsi="宋体" w:eastAsia="宋体" w:cs="宋体"/>
          <w:b/>
          <w:bCs/>
          <w:color w:val="auto"/>
          <w:highlight w:val="none"/>
        </w:rPr>
      </w:r>
      <w:r/>
    </w:p>
    <w:p>
      <w:pPr>
        <w:pStyle w:val="908"/>
        <w:ind w:firstLine="0"/>
        <w:jc w:val="center"/>
        <w:spacing w:line="360" w:lineRule="auto"/>
        <w:rPr>
          <w:rFonts w:hint="eastAsia" w:ascii="宋体" w:hAnsi="宋体" w:eastAsia="宋体" w:cs="宋体"/>
          <w:b/>
          <w:bCs/>
          <w:color w:val="auto"/>
          <w:highlight w:val="none"/>
        </w:rPr>
      </w:pPr>
      <w:r>
        <w:rPr>
          <w:rFonts w:hint="eastAsia" w:ascii="宋体" w:hAnsi="宋体" w:eastAsia="宋体" w:cs="宋体"/>
          <w:b/>
          <w:color w:val="auto"/>
          <w:szCs w:val="24"/>
          <w:highlight w:val="none"/>
        </w:rPr>
      </w:r>
      <w:r/>
    </w:p>
    <w:p>
      <w:pP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908"/>
        <w:ind w:firstLine="0"/>
        <w:jc w:val="center"/>
        <w:spacing w:line="360" w:lineRule="auto"/>
        <w:rPr>
          <w:rFonts w:hint="eastAsia" w:ascii="宋体" w:hAnsi="宋体" w:eastAsia="宋体" w:cs="宋体"/>
          <w:b/>
          <w:color w:val="auto"/>
          <w:szCs w:val="24"/>
          <w:highlight w:val="none"/>
          <w:lang w:val="zh-CN"/>
        </w:rPr>
      </w:pPr>
      <w:r>
        <w:rPr>
          <w:rFonts w:hint="eastAsia" w:ascii="宋体" w:hAnsi="宋体" w:eastAsia="宋体" w:cs="宋体"/>
          <w:b/>
          <w:color w:val="auto"/>
          <w:szCs w:val="24"/>
          <w:highlight w:val="none"/>
        </w:rPr>
        <w:t xml:space="preserve">第三章  </w:t>
      </w:r>
      <w:r>
        <w:rPr>
          <w:rFonts w:hint="eastAsia" w:ascii="宋体" w:hAnsi="宋体" w:eastAsia="宋体" w:cs="宋体"/>
          <w:b/>
          <w:color w:val="auto"/>
          <w:szCs w:val="24"/>
          <w:highlight w:val="none"/>
          <w:lang w:val="zh-CN"/>
        </w:rPr>
        <w:t xml:space="preserve">响应文件格式</w:t>
      </w:r>
      <w:r/>
    </w:p>
    <w:p>
      <w:pPr>
        <w:pStyle w:val="908"/>
        <w:ind w:firstLine="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1、磋商响应函</w:t>
      </w:r>
      <w:r/>
    </w:p>
    <w:p>
      <w:pPr>
        <w:pStyle w:val="1005"/>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1005"/>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苏州正杰招投标咨询服务有限公司：</w:t>
      </w:r>
      <w:r/>
    </w:p>
    <w:p>
      <w:pPr>
        <w:pStyle w:val="1005"/>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    我们收到贵公司</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号采购文件，经仔细阅读和研究，我们决定参加采购活动。</w:t>
      </w:r>
      <w:r/>
    </w:p>
    <w:p>
      <w:pPr>
        <w:pStyle w:val="1005"/>
        <w:spacing w:line="360" w:lineRule="auto"/>
        <w:rPr>
          <w:rFonts w:hint="eastAsia" w:ascii="Times New Roman" w:hAnsi="宋体" w:eastAsia="宋体" w:cs="宋体"/>
          <w:color w:val="auto"/>
          <w:sz w:val="24"/>
          <w:szCs w:val="24"/>
          <w:highlight w:val="none"/>
        </w:rPr>
      </w:pPr>
      <w:r>
        <w:rPr>
          <w:rFonts w:hint="eastAsia" w:hAnsi="宋体" w:eastAsia="宋体" w:cs="宋体"/>
          <w:color w:val="auto"/>
          <w:sz w:val="24"/>
          <w:szCs w:val="24"/>
          <w:highlight w:val="none"/>
        </w:rPr>
        <w:t xml:space="preserve">    1、我们愿意按照采购文件的一切要求，提供完成该项目的全部内容，我们的报价包括</w:t>
      </w:r>
      <w:r>
        <w:rPr>
          <w:rFonts w:hint="eastAsia" w:hAnsi="宋体" w:eastAsia="宋体" w:cs="宋体"/>
          <w:color w:val="auto"/>
          <w:sz w:val="24"/>
          <w:szCs w:val="24"/>
          <w:highlight w:val="none"/>
          <w:lang w:val="zh-CN"/>
        </w:rPr>
        <w:t xml:space="preserve">完成所有采购内容以及本项目所需的劳务支出、保险、配套费用、税费及服务相关等所发生的全部费用以及企业利润、税金和政策性文件规定及合同包含的所有风险、责任等各项应有费用</w:t>
      </w:r>
      <w:r>
        <w:rPr>
          <w:rFonts w:hint="eastAsia" w:hAnsi="宋体" w:eastAsia="宋体" w:cs="宋体"/>
          <w:color w:val="auto"/>
          <w:sz w:val="24"/>
          <w:szCs w:val="24"/>
          <w:highlight w:val="none"/>
        </w:rPr>
        <w:t xml:space="preserve">。</w:t>
      </w:r>
      <w:r/>
    </w:p>
    <w:p>
      <w:pPr>
        <w:pStyle w:val="1005"/>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    2、如果我们的响应文件被接受，我们将严格履行采购文件中规定的每一项要求，按期、按质、按量履行合同的义务。</w:t>
      </w:r>
      <w:r/>
    </w:p>
    <w:p>
      <w:pPr>
        <w:pStyle w:val="1005"/>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    3、我们同意按采购文件规定，响应文件有效期限为自</w:t>
      </w:r>
      <w:r>
        <w:rPr>
          <w:rFonts w:hint="eastAsia" w:hAnsi="宋体" w:eastAsia="宋体" w:cs="宋体"/>
          <w:bCs/>
          <w:color w:val="auto"/>
          <w:sz w:val="24"/>
          <w:szCs w:val="24"/>
          <w:highlight w:val="none"/>
          <w:lang w:val="zh-CN"/>
        </w:rPr>
        <w:t xml:space="preserve">响应文件提交截止之日</w:t>
      </w:r>
      <w:r>
        <w:rPr>
          <w:rFonts w:hint="eastAsia" w:hAnsi="宋体" w:eastAsia="宋体" w:cs="宋体"/>
          <w:color w:val="auto"/>
          <w:sz w:val="24"/>
          <w:szCs w:val="24"/>
          <w:highlight w:val="none"/>
        </w:rPr>
        <w:t xml:space="preserve">起</w:t>
      </w:r>
      <w:r>
        <w:rPr>
          <w:rFonts w:hAnsi="宋体" w:eastAsia="宋体" w:cs="宋体"/>
          <w:color w:val="auto"/>
          <w:sz w:val="24"/>
          <w:szCs w:val="24"/>
          <w:highlight w:val="none"/>
          <w:u w:val="single"/>
        </w:rPr>
        <w:t xml:space="preserve"> </w:t>
      </w:r>
      <w:r>
        <w:rPr>
          <w:rFonts w:hint="eastAsia" w:hAnsi="宋体" w:eastAsia="宋体" w:cs="宋体"/>
          <w:color w:val="auto"/>
          <w:sz w:val="24"/>
          <w:szCs w:val="24"/>
          <w:highlight w:val="none"/>
          <w:u w:val="single"/>
        </w:rPr>
        <w:t xml:space="preserve">  </w:t>
      </w:r>
      <w:r>
        <w:rPr>
          <w:rFonts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天。如果我们在开标后规定的有效期内撤回，我们愿承担一切责任。</w:t>
      </w:r>
      <w:r/>
    </w:p>
    <w:p>
      <w:pPr>
        <w:pStyle w:val="1005"/>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    4、我们愿意提供采购人在采购文件中要求的所有资料，也同意向贵方提供贵方可能另外要求的与其有关的任何证据或资料，并保证所提供的资料全部是真实的、有效的，若有虚假，我们愿承担一切责任。</w:t>
      </w:r>
      <w:r/>
    </w:p>
    <w:p>
      <w:pPr>
        <w:pStyle w:val="1005"/>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    5、我们认为你们有权决定供应商，还认为你们有权接受或拒绝所有的供应商。</w:t>
      </w:r>
      <w:r/>
    </w:p>
    <w:p>
      <w:pPr>
        <w:pStyle w:val="1005"/>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    6、我们愿意遵守采购文件中所列的收费标准。</w:t>
      </w:r>
      <w:r/>
    </w:p>
    <w:p>
      <w:pPr>
        <w:pStyle w:val="1005"/>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    7、我们承诺本响应文件在磋商开始后的全过程中保持有效，不作任何更改和变动。我们同意</w:t>
      </w:r>
      <w:r>
        <w:rPr>
          <w:rFonts w:hint="eastAsia" w:hAnsi="宋体" w:eastAsia="宋体" w:cs="宋体"/>
          <w:color w:val="auto"/>
          <w:sz w:val="24"/>
          <w:szCs w:val="24"/>
          <w:highlight w:val="none"/>
          <w:lang w:val="zh-CN"/>
        </w:rPr>
        <w:t xml:space="preserve">成交</w:t>
      </w:r>
      <w:r>
        <w:rPr>
          <w:rFonts w:hint="eastAsia" w:hAnsi="宋体" w:eastAsia="宋体" w:cs="宋体"/>
          <w:color w:val="auto"/>
          <w:sz w:val="24"/>
          <w:szCs w:val="24"/>
          <w:highlight w:val="none"/>
        </w:rPr>
        <w:t xml:space="preserve">后若不履行响应文件的内容要求和各项承诺及义务的即被视为违约，我们愿承担一切责任。</w:t>
      </w:r>
      <w:r/>
    </w:p>
    <w:p>
      <w:pPr>
        <w:pStyle w:val="1005"/>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8、本函填写的电子邮箱为我方此次采购活动中的授权邮箱，该邮箱发至采购人或代理机构的函件无论是否签字或盖章，均视为我方的意思表示，我方均予以承认并承担相应后果。</w:t>
      </w:r>
      <w:r/>
    </w:p>
    <w:p>
      <w:pPr>
        <w:pStyle w:val="1005"/>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    </w:t>
      </w:r>
      <w:r>
        <w:rPr>
          <w:rFonts w:hint="eastAsia" w:hAnsi="宋体" w:eastAsia="宋体" w:cs="宋体"/>
          <w:color w:val="auto"/>
          <w:sz w:val="24"/>
          <w:szCs w:val="24"/>
          <w:highlight w:val="none"/>
          <w:lang w:val="en-US" w:eastAsia="zh-CN"/>
        </w:rPr>
        <w:t xml:space="preserve">9</w:t>
      </w:r>
      <w:r>
        <w:rPr>
          <w:rFonts w:hint="eastAsia" w:hAnsi="宋体" w:eastAsia="宋体" w:cs="宋体"/>
          <w:color w:val="auto"/>
          <w:sz w:val="24"/>
          <w:szCs w:val="24"/>
          <w:highlight w:val="none"/>
        </w:rPr>
        <w:t xml:space="preserve">、与本次磋商有关的通讯地址：</w:t>
      </w:r>
      <w:r/>
    </w:p>
    <w:p>
      <w:pPr>
        <w:pStyle w:val="1005"/>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    单位名称：                                 联系人员：</w:t>
      </w:r>
      <w:r/>
    </w:p>
    <w:p>
      <w:pPr>
        <w:pStyle w:val="1005"/>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    单位地址：                                 邮政编码：</w:t>
      </w:r>
      <w:r/>
    </w:p>
    <w:p>
      <w:pPr>
        <w:pStyle w:val="1005"/>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    联系电话：                                 传真号码：</w:t>
      </w:r>
      <w:r/>
    </w:p>
    <w:p>
      <w:pPr>
        <w:pStyle w:val="908"/>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供应商：（单位盖章）</w:t>
      </w:r>
      <w:r/>
    </w:p>
    <w:p>
      <w:pPr>
        <w:pStyle w:val="908"/>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法定代表人或代理人：（签字或盖章）</w:t>
      </w:r>
      <w:r/>
    </w:p>
    <w:p>
      <w:pPr>
        <w:pStyle w:val="908"/>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spacing w:line="360" w:lineRule="auto"/>
        <w:rPr>
          <w:rFonts w:hint="eastAsia" w:ascii="宋体" w:hAnsi="宋体" w:eastAsia="宋体" w:cs="宋体"/>
          <w:b/>
          <w:color w:val="auto"/>
          <w:sz w:val="24"/>
          <w:szCs w:val="24"/>
          <w:highlight w:val="none"/>
          <w:lang w:val="zh-CN"/>
        </w:rPr>
      </w:pPr>
      <w:r>
        <w:rPr>
          <w:rFonts w:hint="eastAsia" w:ascii="宋体" w:hAnsi="宋体"/>
          <w:b/>
          <w:color w:val="auto"/>
          <w:szCs w:val="21"/>
          <w:highlight w:val="none"/>
        </w:rPr>
        <w:br w:type="page" w:clear="all"/>
      </w:r>
      <w:r>
        <w:rPr>
          <w:rFonts w:hint="eastAsia" w:ascii="宋体" w:hAnsi="宋体" w:eastAsia="宋体" w:cs="宋体"/>
          <w:b/>
          <w:color w:val="auto"/>
          <w:sz w:val="24"/>
          <w:szCs w:val="24"/>
          <w:highlight w:val="none"/>
          <w:lang w:val="zh-CN"/>
        </w:rPr>
        <w:t xml:space="preserve">2、法定代表人授权委托书</w:t>
      </w:r>
      <w:r/>
    </w:p>
    <w:p>
      <w:pPr>
        <w:pStyle w:val="908"/>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28"/>
        <w:ind w:firstLine="484"/>
        <w:spacing w:line="360" w:lineRule="auto"/>
        <w:rPr>
          <w:rFonts w:hint="eastAsia" w:hAnsi="宋体" w:eastAsia="宋体" w:cs="宋体"/>
          <w:color w:val="auto"/>
          <w:sz w:val="24"/>
          <w:szCs w:val="24"/>
          <w:highlight w:val="none"/>
        </w:rPr>
      </w:pPr>
      <w:r>
        <w:rPr>
          <w:rFonts w:hAnsi="宋体" w:eastAsia="宋体" w:cs="宋体"/>
          <w:color w:val="auto"/>
          <w:sz w:val="24"/>
          <w:szCs w:val="24"/>
          <w:highlight w:val="none"/>
        </w:rPr>
        <w:t xml:space="preserve">本授权委托书声明：我</w:t>
      </w:r>
      <w:r>
        <w:rPr>
          <w:rFonts w:hAnsi="宋体" w:eastAsia="宋体" w:cs="宋体"/>
          <w:color w:val="auto"/>
          <w:sz w:val="24"/>
          <w:szCs w:val="24"/>
          <w:highlight w:val="none"/>
          <w:u w:val="single"/>
        </w:rPr>
        <w:t xml:space="preserve">     </w:t>
      </w:r>
      <w:r>
        <w:rPr>
          <w:rFonts w:hAnsi="宋体" w:eastAsia="宋体" w:cs="宋体"/>
          <w:color w:val="auto"/>
          <w:sz w:val="24"/>
          <w:szCs w:val="24"/>
          <w:highlight w:val="none"/>
        </w:rPr>
        <w:t xml:space="preserve">（姓名）系</w:t>
      </w:r>
      <w:r>
        <w:rPr>
          <w:rFonts w:hAnsi="宋体" w:eastAsia="宋体" w:cs="宋体"/>
          <w:color w:val="auto"/>
          <w:sz w:val="24"/>
          <w:szCs w:val="24"/>
          <w:highlight w:val="none"/>
          <w:u w:val="single"/>
        </w:rPr>
        <w:t xml:space="preserve">     </w:t>
      </w:r>
      <w:r>
        <w:rPr>
          <w:rFonts w:hAnsi="宋体" w:eastAsia="宋体" w:cs="宋体"/>
          <w:color w:val="auto"/>
          <w:sz w:val="24"/>
          <w:szCs w:val="24"/>
          <w:highlight w:val="none"/>
        </w:rPr>
        <w:t xml:space="preserve">（</w:t>
      </w:r>
      <w:r>
        <w:rPr>
          <w:rFonts w:hint="eastAsia" w:hAnsi="宋体" w:eastAsia="宋体" w:cs="宋体"/>
          <w:color w:val="auto"/>
          <w:sz w:val="24"/>
          <w:szCs w:val="24"/>
          <w:highlight w:val="none"/>
        </w:rPr>
        <w:t xml:space="preserve">供应商</w:t>
      </w:r>
      <w:r>
        <w:rPr>
          <w:rFonts w:hAnsi="宋体" w:eastAsia="宋体" w:cs="宋体"/>
          <w:color w:val="auto"/>
          <w:sz w:val="24"/>
          <w:szCs w:val="24"/>
          <w:highlight w:val="none"/>
        </w:rPr>
        <w:t xml:space="preserve">名称）的法定代表人，现授权委托</w:t>
      </w:r>
      <w:r>
        <w:rPr>
          <w:rFonts w:hAnsi="宋体" w:eastAsia="宋体" w:cs="宋体"/>
          <w:color w:val="auto"/>
          <w:sz w:val="24"/>
          <w:szCs w:val="24"/>
          <w:highlight w:val="none"/>
          <w:u w:val="single"/>
        </w:rPr>
        <w:t xml:space="preserve">     </w:t>
      </w:r>
      <w:r>
        <w:rPr>
          <w:rFonts w:hAnsi="宋体" w:eastAsia="宋体" w:cs="宋体"/>
          <w:color w:val="auto"/>
          <w:sz w:val="24"/>
          <w:szCs w:val="24"/>
          <w:highlight w:val="none"/>
        </w:rPr>
        <w:t xml:space="preserve">（姓名为我公司代理人，以本公司的名义参加</w:t>
      </w:r>
      <w:r>
        <w:rPr>
          <w:rFonts w:hAnsi="宋体" w:eastAsia="宋体" w:cs="宋体"/>
          <w:color w:val="auto"/>
          <w:sz w:val="24"/>
          <w:szCs w:val="24"/>
          <w:highlight w:val="none"/>
          <w:u w:val="single"/>
        </w:rPr>
        <w:t xml:space="preserve">     </w:t>
      </w:r>
      <w:r>
        <w:rPr>
          <w:rFonts w:hAnsi="宋体" w:eastAsia="宋体" w:cs="宋体"/>
          <w:color w:val="auto"/>
          <w:sz w:val="24"/>
          <w:szCs w:val="24"/>
          <w:highlight w:val="none"/>
        </w:rPr>
        <w:t xml:space="preserve">（采购人名称）组织实施的编号为</w:t>
      </w:r>
      <w:r>
        <w:rPr>
          <w:rFonts w:hAnsi="宋体" w:eastAsia="宋体" w:cs="宋体"/>
          <w:color w:val="auto"/>
          <w:sz w:val="24"/>
          <w:szCs w:val="24"/>
          <w:highlight w:val="none"/>
          <w:u w:val="single"/>
        </w:rPr>
        <w:t xml:space="preserve">     </w:t>
      </w:r>
      <w:r>
        <w:rPr>
          <w:rFonts w:hAnsi="宋体" w:eastAsia="宋体" w:cs="宋体"/>
          <w:color w:val="auto"/>
          <w:sz w:val="24"/>
          <w:szCs w:val="24"/>
          <w:highlight w:val="none"/>
        </w:rPr>
        <w:t xml:space="preserve">号的采购活动。代理人在投标、开标、评标、合同订立和履行过程中所签署的一切文件和处理与这有关的一切事务，我均予以承认。</w:t>
      </w:r>
      <w:r/>
    </w:p>
    <w:p>
      <w:pPr>
        <w:pStyle w:val="1028"/>
        <w:ind w:firstLine="484"/>
        <w:spacing w:line="360" w:lineRule="auto"/>
        <w:rPr>
          <w:rFonts w:hint="eastAsia" w:hAnsi="宋体" w:eastAsia="宋体" w:cs="宋体"/>
          <w:color w:val="auto"/>
          <w:sz w:val="24"/>
          <w:szCs w:val="24"/>
          <w:highlight w:val="none"/>
        </w:rPr>
      </w:pPr>
      <w:r>
        <w:rPr>
          <w:rFonts w:hAnsi="宋体" w:eastAsia="宋体" w:cs="宋体"/>
          <w:color w:val="auto"/>
          <w:sz w:val="24"/>
          <w:szCs w:val="24"/>
          <w:highlight w:val="none"/>
        </w:rPr>
        <w:t xml:space="preserve">代理人在授权委托书有效期内签署的所有文件不因授权委托的撤销而失效，除非有撤销授权委托的书面通知，本授权委托书自投标开始至合同履行完毕止。</w:t>
      </w:r>
      <w:r/>
    </w:p>
    <w:p>
      <w:pPr>
        <w:pStyle w:val="1028"/>
        <w:ind w:firstLine="484"/>
        <w:spacing w:line="360" w:lineRule="auto"/>
        <w:rPr>
          <w:rFonts w:hint="eastAsia" w:hAnsi="宋体" w:eastAsia="宋体" w:cs="宋体"/>
          <w:color w:val="auto"/>
          <w:sz w:val="24"/>
          <w:szCs w:val="24"/>
          <w:highlight w:val="none"/>
        </w:rPr>
      </w:pPr>
      <w:r>
        <w:rPr>
          <w:rFonts w:hAnsi="宋体" w:eastAsia="宋体" w:cs="宋体"/>
          <w:color w:val="auto"/>
          <w:sz w:val="24"/>
          <w:szCs w:val="24"/>
          <w:highlight w:val="none"/>
        </w:rPr>
        <w:t xml:space="preserve">代理人无转委托权。特此委托。</w:t>
      </w:r>
      <w:r/>
    </w:p>
    <w:p>
      <w:pPr>
        <w:pStyle w:val="1028"/>
        <w:ind w:firstLine="484"/>
        <w:spacing w:line="360" w:lineRule="auto"/>
        <w:rPr>
          <w:rFonts w:hint="eastAsia" w:hAnsi="宋体" w:eastAsia="宋体" w:cs="宋体"/>
          <w:color w:val="auto"/>
          <w:sz w:val="24"/>
          <w:szCs w:val="24"/>
          <w:highlight w:val="none"/>
        </w:rPr>
      </w:pPr>
      <w:r>
        <w:rPr>
          <w:rFonts w:hAnsi="宋体" w:eastAsia="宋体" w:cs="宋体"/>
          <w:color w:val="auto"/>
          <w:sz w:val="24"/>
          <w:szCs w:val="24"/>
          <w:highlight w:val="none"/>
        </w:rPr>
        <w:t xml:space="preserve">   </w:t>
      </w:r>
      <w:r/>
    </w:p>
    <w:p>
      <w:pPr>
        <w:pStyle w:val="946"/>
        <w:ind w:firstLine="480"/>
        <w:jc w:val="both"/>
        <w:spacing w:line="360" w:lineRule="auto"/>
        <w:rPr>
          <w:rFonts w:cs="宋体"/>
          <w:color w:val="auto"/>
          <w:highlight w:val="none"/>
        </w:rPr>
      </w:pPr>
      <w:r>
        <w:rPr>
          <w:rFonts w:cs="宋体"/>
          <w:color w:val="auto"/>
          <w:highlight w:val="none"/>
        </w:rPr>
        <w:t xml:space="preserve">投标人（单位盖章）：</w:t>
      </w:r>
      <w:r/>
    </w:p>
    <w:p>
      <w:pPr>
        <w:pStyle w:val="946"/>
        <w:ind w:firstLine="480"/>
        <w:jc w:val="both"/>
        <w:spacing w:line="360" w:lineRule="auto"/>
        <w:rPr>
          <w:rFonts w:cs="宋体"/>
          <w:color w:val="auto"/>
          <w:highlight w:val="none"/>
        </w:rPr>
      </w:pPr>
      <w:r>
        <w:rPr>
          <w:rFonts w:cs="宋体"/>
          <w:color w:val="auto"/>
          <w:highlight w:val="none"/>
        </w:rPr>
        <w:t xml:space="preserve">法定代表人（签字或盖章）：</w:t>
      </w:r>
      <w:r/>
    </w:p>
    <w:p>
      <w:pPr>
        <w:pStyle w:val="946"/>
        <w:ind w:firstLine="480"/>
        <w:jc w:val="both"/>
        <w:spacing w:line="360" w:lineRule="auto"/>
        <w:rPr>
          <w:rFonts w:cs="宋体"/>
          <w:color w:val="auto"/>
          <w:highlight w:val="none"/>
        </w:rPr>
      </w:pPr>
      <w:r>
        <w:rPr>
          <w:rFonts w:cs="宋体"/>
          <w:color w:val="auto"/>
          <w:highlight w:val="none"/>
        </w:rPr>
        <w:t xml:space="preserve">代理人（签字或盖章）：</w:t>
      </w:r>
      <w:r/>
    </w:p>
    <w:p>
      <w:pPr>
        <w:pStyle w:val="946"/>
        <w:ind w:firstLine="480"/>
        <w:jc w:val="both"/>
        <w:spacing w:line="360" w:lineRule="auto"/>
        <w:rPr>
          <w:rFonts w:cs="宋体"/>
          <w:color w:val="auto"/>
          <w:highlight w:val="none"/>
        </w:rPr>
      </w:pPr>
      <w:r>
        <w:rPr>
          <w:rFonts w:cs="宋体"/>
          <w:color w:val="auto"/>
          <w:highlight w:val="none"/>
        </w:rPr>
        <w:t xml:space="preserve">日 期： </w:t>
      </w:r>
      <w:r/>
    </w:p>
    <w:p>
      <w:pPr>
        <w:ind w:firstLine="525"/>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908"/>
        <w:ind w:firstLine="482"/>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注：本授权委托书仅限于法人性质投标人投标，投标文件中必须提供法定代表人和代理人身份证复印件。非法人性质投标人投标，授权委托书格式自拟，但必须同时提供受托双方身份证复印件。</w:t>
      </w:r>
      <w:r/>
    </w:p>
    <w:p>
      <w:pPr>
        <w:pStyle w:val="908"/>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w:t>
      </w:r>
      <w:r/>
    </w:p>
    <w:p>
      <w:pPr>
        <w:pStyle w:val="908"/>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w:t>
      </w:r>
      <w:r/>
    </w:p>
    <w:p>
      <w:pPr>
        <w:pStyle w:val="908"/>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08"/>
        <w:ind w:firstLine="0"/>
        <w:jc w:val="center"/>
        <w:spacing w:line="360" w:lineRule="auto"/>
        <w:rPr>
          <w:rFonts w:hint="eastAsia" w:ascii="宋体" w:hAnsi="宋体" w:eastAsia="宋体" w:cs="宋体"/>
          <w:color w:val="auto"/>
          <w:szCs w:val="24"/>
          <w:highlight w:val="none"/>
        </w:rPr>
        <w:outlineLvl w:val="1"/>
      </w:pPr>
      <w:r>
        <w:rPr>
          <w:rFonts w:hint="eastAsia" w:ascii="宋体" w:hAnsi="宋体" w:eastAsia="宋体" w:cs="宋体"/>
          <w:b/>
          <w:bCs/>
          <w:color w:val="auto"/>
          <w:szCs w:val="24"/>
          <w:highlight w:val="none"/>
        </w:rPr>
        <w:br w:type="page" w:clear="all"/>
      </w:r>
      <w:r>
        <w:rPr>
          <w:rFonts w:hint="eastAsia" w:ascii="宋体" w:hAnsi="宋体" w:eastAsia="宋体" w:cs="宋体"/>
          <w:color w:val="auto"/>
          <w:szCs w:val="24"/>
          <w:highlight w:val="none"/>
        </w:rPr>
        <w:t xml:space="preserve">联合体投标协议书</w:t>
      </w:r>
      <w:r/>
    </w:p>
    <w:p>
      <w:pPr>
        <w:pStyle w:val="908"/>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甲方：</w:t>
      </w:r>
      <w:r/>
    </w:p>
    <w:p>
      <w:pPr>
        <w:pStyle w:val="908"/>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乙方：</w:t>
      </w:r>
      <w:r/>
    </w:p>
    <w:p>
      <w:pPr>
        <w:pStyle w:val="908"/>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丙方：</w:t>
      </w:r>
      <w:r/>
    </w:p>
    <w:p>
      <w:pPr>
        <w:pStyle w:val="908"/>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（如果有，可按甲、乙、丙序列增加）</w:t>
      </w:r>
      <w:r/>
    </w:p>
    <w:p>
      <w:pPr>
        <w:pStyle w:val="908"/>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各方经协商，就响应组织实施的编号为号的招标活动联合进行投标之事宜，达成如下协议：</w:t>
      </w:r>
      <w:r/>
    </w:p>
    <w:p>
      <w:pPr>
        <w:pStyle w:val="908"/>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一、各方一致决定，以为主办人（即联合体投标人代表）进行投标，并按照招标文件的规定提交资格文件。</w:t>
      </w:r>
      <w:r/>
    </w:p>
    <w:p>
      <w:pPr>
        <w:pStyle w:val="908"/>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二、在本次投标过程中，主办人的法定代表人（负责人）或主办人的授权代理人根据招标文件规定及投标内容而对采购人或采购代理机构所作的任何合法承诺，包括书面澄清及响应等均对联合投标各方产生约束力。如果中标并签订合同，则联合投标各方将共同履行对采购人或采购代理机构所负有的全部义务并就采购合同约定的事项对采购人承担连带责任。</w:t>
      </w:r>
      <w:r/>
    </w:p>
    <w:p>
      <w:pPr>
        <w:pStyle w:val="908"/>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三、联合投标其余各方保证对主办人为响应本次招标而提供的产品和服务提供全部质量保证及售后服务支持。</w:t>
      </w:r>
      <w:r/>
    </w:p>
    <w:p>
      <w:pPr>
        <w:pStyle w:val="908"/>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四、本次联合投标中，甲方承担的工作和义务为：</w:t>
      </w:r>
      <w:r/>
    </w:p>
    <w:p>
      <w:pPr>
        <w:pStyle w:val="908"/>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乙方承担的工作和义务为：</w:t>
      </w:r>
      <w:r/>
    </w:p>
    <w:p>
      <w:pPr>
        <w:pStyle w:val="908"/>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丙方承担的工作和义务为：</w:t>
      </w:r>
      <w:r/>
    </w:p>
    <w:p>
      <w:pPr>
        <w:pStyle w:val="908"/>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五、有关本次联合投标的其他事宜：</w:t>
      </w:r>
      <w:r/>
    </w:p>
    <w:p>
      <w:pPr>
        <w:pStyle w:val="908"/>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六、本协议提交招标方后，联合投标各方不得以任何形式对上述实质内容进行修改或撤销。</w:t>
      </w:r>
      <w:r/>
    </w:p>
    <w:p>
      <w:pPr>
        <w:pStyle w:val="908"/>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七、本协议一式份，签约各方各持一份，交政府采购管理部门及采购人和采购代理机构各一份。</w:t>
      </w:r>
      <w:r/>
    </w:p>
    <w:tbl>
      <w:tblPr>
        <w:tblStyle w:val="90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313"/>
        <w:gridCol w:w="3313"/>
        <w:gridCol w:w="3314"/>
      </w:tblGrid>
      <w:tr>
        <w:trPr>
          <w:trHeight w:val="1831"/>
        </w:trPr>
        <w:tc>
          <w:tcPr>
            <w:tcW w:w="3313" w:type="dxa"/>
            <w:textDirection w:val="lrTb"/>
            <w:noWrap w:val="false"/>
          </w:tcPr>
          <w:p>
            <w:pPr>
              <w:pStyle w:val="908"/>
              <w:ind w:firstLine="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甲方单位：   （公章）</w:t>
            </w:r>
            <w:r/>
          </w:p>
          <w:p>
            <w:pPr>
              <w:pStyle w:val="908"/>
              <w:ind w:firstLine="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法定代表人（负责人）：（签章）</w:t>
            </w:r>
            <w:r/>
          </w:p>
          <w:p>
            <w:pPr>
              <w:pStyle w:val="908"/>
              <w:ind w:firstLine="0"/>
              <w:jc w:val="righ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年   月   日</w:t>
            </w:r>
            <w:r/>
          </w:p>
        </w:tc>
        <w:tc>
          <w:tcPr>
            <w:tcW w:w="3313" w:type="dxa"/>
            <w:textDirection w:val="lrTb"/>
            <w:noWrap w:val="false"/>
          </w:tcPr>
          <w:p>
            <w:pPr>
              <w:pStyle w:val="908"/>
              <w:ind w:firstLine="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乙方单位：   （公章）</w:t>
            </w:r>
            <w:r/>
          </w:p>
          <w:p>
            <w:pPr>
              <w:pStyle w:val="908"/>
              <w:ind w:firstLine="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法定代表人（负责人）：（签章）</w:t>
            </w:r>
            <w:r/>
          </w:p>
          <w:p>
            <w:pPr>
              <w:pStyle w:val="908"/>
              <w:ind w:firstLine="0"/>
              <w:jc w:val="righ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年   月   日</w:t>
            </w:r>
            <w:r/>
          </w:p>
        </w:tc>
        <w:tc>
          <w:tcPr>
            <w:tcW w:w="3314" w:type="dxa"/>
            <w:textDirection w:val="lrTb"/>
            <w:noWrap w:val="false"/>
          </w:tcPr>
          <w:p>
            <w:pPr>
              <w:pStyle w:val="908"/>
              <w:ind w:firstLine="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丙方单位：   （公章）</w:t>
            </w:r>
            <w:r/>
          </w:p>
          <w:p>
            <w:pPr>
              <w:pStyle w:val="908"/>
              <w:ind w:firstLine="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法定代表人（负责人）：（签章）</w:t>
            </w:r>
            <w:r/>
          </w:p>
          <w:p>
            <w:pPr>
              <w:pStyle w:val="908"/>
              <w:ind w:firstLine="0"/>
              <w:jc w:val="righ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年   月   日</w:t>
            </w:r>
            <w:r/>
          </w:p>
        </w:tc>
      </w:tr>
    </w:tbl>
    <w:p>
      <w:pPr>
        <w:pStyle w:val="908"/>
        <w:ind w:firstLine="0"/>
        <w:rPr>
          <w:rFonts w:hint="eastAsia" w:ascii="宋体" w:hAnsi="宋体" w:eastAsia="宋体" w:cs="宋体"/>
          <w:color w:val="auto"/>
          <w:szCs w:val="24"/>
          <w:highlight w:val="none"/>
        </w:rPr>
        <w:outlineLvl w:val="1"/>
      </w:pPr>
      <w:r>
        <w:rPr>
          <w:rFonts w:hint="eastAsia" w:ascii="宋体" w:hAnsi="宋体" w:eastAsia="宋体" w:cs="宋体"/>
          <w:color w:val="auto"/>
          <w:szCs w:val="24"/>
          <w:highlight w:val="none"/>
        </w:rPr>
      </w:r>
      <w:r/>
    </w:p>
    <w:p>
      <w:pPr>
        <w:pStyle w:val="908"/>
        <w:ind w:firstLine="0"/>
        <w:rPr>
          <w:rFonts w:hint="eastAsia" w:ascii="宋体" w:hAnsi="宋体" w:eastAsia="宋体" w:cs="宋体"/>
          <w:color w:val="auto"/>
          <w:szCs w:val="24"/>
          <w:highlight w:val="none"/>
        </w:rPr>
        <w:outlineLvl w:val="1"/>
      </w:pPr>
      <w:r>
        <w:rPr>
          <w:rFonts w:hint="eastAsia" w:ascii="宋体" w:hAnsi="宋体" w:eastAsia="宋体" w:cs="宋体"/>
          <w:color w:val="auto"/>
          <w:szCs w:val="24"/>
          <w:highlight w:val="none"/>
        </w:rPr>
      </w:r>
      <w:r/>
    </w:p>
    <w:p>
      <w:pPr>
        <w:pStyle w:val="908"/>
        <w:ind w:firstLine="0"/>
        <w:rPr>
          <w:rFonts w:hint="eastAsia" w:ascii="宋体" w:hAnsi="宋体" w:eastAsia="宋体" w:cs="宋体"/>
          <w:color w:val="auto"/>
          <w:szCs w:val="24"/>
          <w:highlight w:val="none"/>
        </w:rPr>
        <w:outlineLvl w:val="1"/>
      </w:pPr>
      <w:r>
        <w:rPr>
          <w:rFonts w:hint="eastAsia" w:ascii="宋体" w:hAnsi="宋体" w:eastAsia="宋体" w:cs="宋体"/>
          <w:color w:val="auto"/>
          <w:szCs w:val="24"/>
          <w:highlight w:val="none"/>
        </w:rPr>
      </w:r>
      <w:r/>
    </w:p>
    <w:p>
      <w:pPr>
        <w:pStyle w:val="908"/>
        <w:ind w:firstLine="0"/>
        <w:rPr>
          <w:rFonts w:hint="eastAsia" w:ascii="宋体" w:hAnsi="宋体" w:eastAsia="宋体" w:cs="宋体"/>
          <w:color w:val="auto"/>
          <w:szCs w:val="24"/>
          <w:highlight w:val="none"/>
        </w:rPr>
        <w:outlineLvl w:val="1"/>
      </w:pPr>
      <w:r>
        <w:rPr>
          <w:rFonts w:hint="eastAsia" w:ascii="宋体" w:hAnsi="宋体" w:eastAsia="宋体" w:cs="宋体"/>
          <w:color w:val="auto"/>
          <w:szCs w:val="24"/>
          <w:highlight w:val="none"/>
        </w:rPr>
      </w:r>
      <w:r/>
    </w:p>
    <w:p>
      <w:pPr>
        <w:pStyle w:val="908"/>
        <w:ind w:firstLine="0"/>
        <w:rPr>
          <w:rFonts w:hint="eastAsia" w:ascii="宋体" w:hAnsi="宋体" w:eastAsia="宋体" w:cs="宋体"/>
          <w:color w:val="auto"/>
          <w:szCs w:val="24"/>
          <w:highlight w:val="none"/>
        </w:rPr>
        <w:outlineLvl w:val="1"/>
      </w:pPr>
      <w:r>
        <w:rPr>
          <w:rFonts w:hint="eastAsia" w:ascii="宋体" w:hAnsi="宋体" w:eastAsia="宋体" w:cs="宋体"/>
          <w:color w:val="auto"/>
          <w:szCs w:val="24"/>
          <w:highlight w:val="none"/>
        </w:rPr>
      </w:r>
      <w:r/>
    </w:p>
    <w:p>
      <w:pPr>
        <w:pStyle w:val="908"/>
        <w:ind w:firstLine="0"/>
        <w:rPr>
          <w:rFonts w:hint="eastAsia" w:ascii="宋体" w:hAnsi="宋体" w:eastAsia="宋体" w:cs="宋体"/>
          <w:color w:val="auto"/>
          <w:szCs w:val="24"/>
          <w:highlight w:val="none"/>
        </w:rPr>
        <w:outlineLvl w:val="1"/>
      </w:pPr>
      <w:r>
        <w:rPr>
          <w:rFonts w:hint="eastAsia" w:ascii="宋体" w:hAnsi="宋体" w:eastAsia="宋体" w:cs="宋体"/>
          <w:color w:val="auto"/>
          <w:szCs w:val="24"/>
          <w:highlight w:val="none"/>
        </w:rPr>
      </w:r>
      <w:r/>
    </w:p>
    <w:p>
      <w:pPr>
        <w:pStyle w:val="908"/>
        <w:jc w:val="center"/>
        <w:rPr>
          <w:rFonts w:hint="eastAsia" w:ascii="宋体" w:hAnsi="宋体" w:eastAsia="宋体" w:cs="宋体"/>
          <w:color w:val="auto"/>
          <w:szCs w:val="24"/>
          <w:highlight w:val="none"/>
        </w:rPr>
        <w:outlineLvl w:val="1"/>
      </w:pPr>
      <w:r>
        <w:rPr>
          <w:rFonts w:hint="eastAsia" w:ascii="宋体" w:hAnsi="宋体" w:eastAsia="宋体" w:cs="宋体"/>
          <w:color w:val="auto"/>
          <w:szCs w:val="24"/>
          <w:highlight w:val="none"/>
        </w:rPr>
        <w:t xml:space="preserve">联合体投标授权委托书</w:t>
      </w:r>
      <w:r/>
    </w:p>
    <w:p>
      <w:pPr>
        <w:pStyle w:val="908"/>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08"/>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08"/>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本授权委托书声明：  根据 </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与</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签订的《联合投标协议书》的内容，主办人</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的法定代表人（负责人）</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现授权 </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为联合投标代理人，</w:t>
      </w:r>
      <w:r>
        <w:rPr>
          <w:rFonts w:hint="eastAsia" w:hAnsi="宋体" w:eastAsia="宋体" w:cs="宋体"/>
          <w:color w:val="auto"/>
          <w:szCs w:val="24"/>
          <w:highlight w:val="none"/>
        </w:rPr>
        <w:t xml:space="preserve">并以本联合体的名义在</w:t>
      </w:r>
      <w:r>
        <w:rPr>
          <w:rFonts w:hint="eastAsia" w:hAnsi="宋体" w:eastAsia="宋体" w:cs="宋体"/>
          <w:color w:val="auto"/>
          <w:szCs w:val="24"/>
          <w:highlight w:val="none"/>
          <w:u w:val="single"/>
        </w:rPr>
        <w:t xml:space="preserve">          </w:t>
      </w:r>
      <w:r>
        <w:rPr>
          <w:rFonts w:hint="eastAsia" w:hAnsi="宋体" w:eastAsia="宋体" w:cs="宋体"/>
          <w:color w:val="auto"/>
          <w:szCs w:val="24"/>
          <w:highlight w:val="none"/>
        </w:rPr>
        <w:t xml:space="preserve">号采购项目的开标、评标和合同签订过程中所签署的一切文件和处理与这有关的一切事务，</w:t>
      </w:r>
      <w:r>
        <w:rPr>
          <w:rFonts w:hint="eastAsia" w:ascii="宋体" w:hAnsi="宋体" w:eastAsia="宋体" w:cs="宋体"/>
          <w:color w:val="auto"/>
          <w:szCs w:val="24"/>
          <w:highlight w:val="none"/>
        </w:rPr>
        <w:t xml:space="preserve"> 联合投标各方均予以认可并遵守。</w:t>
      </w:r>
      <w:r/>
    </w:p>
    <w:p>
      <w:pPr>
        <w:pStyle w:val="908"/>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特此委托。</w:t>
      </w:r>
      <w:r/>
    </w:p>
    <w:p>
      <w:pPr>
        <w:pStyle w:val="908"/>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08"/>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08"/>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08"/>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主办人：（盖章）</w:t>
      </w:r>
      <w:r/>
    </w:p>
    <w:p>
      <w:pPr>
        <w:pStyle w:val="908"/>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08"/>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主办人的法定代表人（负责人）（签字或盖章）：</w:t>
      </w:r>
      <w:r/>
    </w:p>
    <w:p>
      <w:pPr>
        <w:pStyle w:val="908"/>
        <w:ind w:left="850" w:firstLine="2104"/>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年  月  日</w:t>
      </w:r>
      <w:r/>
    </w:p>
    <w:p>
      <w:pPr>
        <w:pStyle w:val="908"/>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被授权人（签字或盖章）：</w:t>
      </w:r>
      <w:r/>
    </w:p>
    <w:p>
      <w:pPr>
        <w:pStyle w:val="908"/>
        <w:ind w:left="850" w:firstLine="2104"/>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年  月  日</w:t>
      </w:r>
      <w:r/>
    </w:p>
    <w:p>
      <w:pPr>
        <w:pStyle w:val="908"/>
        <w:ind w:right="420" w:firstLine="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908"/>
        <w:ind w:right="420" w:firstLine="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908"/>
        <w:ind w:right="420" w:firstLine="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908"/>
        <w:ind w:right="420" w:firstLine="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908"/>
        <w:ind w:right="420" w:firstLine="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908"/>
        <w:ind w:right="420" w:firstLine="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908"/>
        <w:ind w:right="420" w:firstLine="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908"/>
        <w:ind w:right="420" w:firstLine="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908"/>
        <w:ind w:right="420" w:firstLine="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908"/>
        <w:ind w:right="420" w:firstLine="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908"/>
        <w:ind w:right="420" w:firstLine="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908"/>
        <w:ind w:right="420" w:firstLine="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908"/>
        <w:ind w:right="420" w:firstLine="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908"/>
        <w:ind w:right="420" w:firstLine="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908"/>
        <w:ind w:right="420" w:firstLine="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908"/>
        <w:ind w:right="420" w:firstLine="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3、关于资格文件的声明函</w:t>
      </w:r>
      <w:r/>
    </w:p>
    <w:p>
      <w:pPr>
        <w:pStyle w:val="908"/>
        <w:ind w:firstLine="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08"/>
        <w:ind w:firstLine="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苏州正杰招投标咨询服务有限公司：</w:t>
      </w:r>
      <w:r/>
    </w:p>
    <w:p>
      <w:pPr>
        <w:pStyle w:val="908"/>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公司愿就由贵公司组织实施的编号为_________号的采购活动进行响应。本公司所提交的商务、技术及报价文件中所有关于资格的文件、证明和陈述均是真实的、准确的和有效的。若与事实情况不符，本公司愿意承担由此而产生的一切后果。</w:t>
      </w:r>
      <w:r/>
    </w:p>
    <w:p>
      <w:pPr>
        <w:pStyle w:val="908"/>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供应商：（单位盖章）</w:t>
      </w:r>
      <w:r/>
    </w:p>
    <w:p>
      <w:pPr>
        <w:pStyle w:val="908"/>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法定代表人或代理人：（签字或盖章）</w:t>
      </w:r>
      <w:r/>
    </w:p>
    <w:p>
      <w:pPr>
        <w:pStyle w:val="908"/>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pStyle w:val="908"/>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36"/>
        <w:spacing w:line="360" w:lineRule="auto"/>
        <w:rPr>
          <w:rFonts w:hint="eastAsia" w:hAnsi="宋体" w:eastAsia="宋体" w:cs="宋体"/>
          <w:color w:val="auto"/>
          <w:szCs w:val="24"/>
          <w:highlight w:val="none"/>
        </w:rPr>
      </w:pPr>
      <w:r>
        <w:rPr>
          <w:rFonts w:hint="eastAsia" w:hAnsi="宋体" w:eastAsia="宋体" w:cs="宋体"/>
          <w:color w:val="auto"/>
          <w:szCs w:val="24"/>
          <w:highlight w:val="none"/>
        </w:rPr>
      </w:r>
      <w:r/>
    </w:p>
    <w:p>
      <w:pPr>
        <w:pStyle w:val="1036"/>
        <w:spacing w:line="360" w:lineRule="auto"/>
        <w:rPr>
          <w:rFonts w:hint="eastAsia" w:hAnsi="宋体" w:eastAsia="宋体" w:cs="宋体"/>
          <w:color w:val="auto"/>
          <w:szCs w:val="24"/>
          <w:highlight w:val="none"/>
        </w:rPr>
      </w:pPr>
      <w:r>
        <w:rPr>
          <w:rFonts w:hint="eastAsia" w:hAnsi="宋体" w:eastAsia="宋体" w:cs="宋体"/>
          <w:color w:val="auto"/>
          <w:szCs w:val="24"/>
          <w:highlight w:val="none"/>
        </w:rPr>
      </w:r>
      <w:r/>
    </w:p>
    <w:p>
      <w:pPr>
        <w:pStyle w:val="1036"/>
        <w:spacing w:line="360" w:lineRule="auto"/>
        <w:rPr>
          <w:rFonts w:hint="eastAsia" w:hAnsi="宋体" w:eastAsia="宋体" w:cs="宋体"/>
          <w:color w:val="auto"/>
          <w:szCs w:val="24"/>
          <w:highlight w:val="none"/>
        </w:rPr>
      </w:pPr>
      <w:r>
        <w:rPr>
          <w:rFonts w:hint="eastAsia" w:hAnsi="宋体" w:eastAsia="宋体" w:cs="宋体"/>
          <w:color w:val="auto"/>
          <w:szCs w:val="24"/>
          <w:highlight w:val="none"/>
        </w:rPr>
      </w:r>
      <w:r/>
    </w:p>
    <w:p>
      <w:pPr>
        <w:pStyle w:val="1036"/>
        <w:spacing w:line="360" w:lineRule="auto"/>
        <w:rPr>
          <w:rFonts w:hint="eastAsia" w:hAnsi="宋体" w:eastAsia="宋体" w:cs="宋体"/>
          <w:color w:val="auto"/>
          <w:szCs w:val="24"/>
          <w:highlight w:val="none"/>
        </w:rPr>
      </w:pPr>
      <w:r>
        <w:rPr>
          <w:rFonts w:hint="eastAsia" w:hAnsi="宋体" w:eastAsia="宋体" w:cs="宋体"/>
          <w:color w:val="auto"/>
          <w:szCs w:val="24"/>
          <w:highlight w:val="none"/>
        </w:rPr>
      </w:r>
      <w:r/>
    </w:p>
    <w:p>
      <w:pPr>
        <w:pStyle w:val="1036"/>
        <w:spacing w:line="360" w:lineRule="auto"/>
        <w:rPr>
          <w:rFonts w:hint="eastAsia" w:hAnsi="宋体" w:eastAsia="宋体" w:cs="宋体"/>
          <w:color w:val="auto"/>
          <w:szCs w:val="24"/>
          <w:highlight w:val="none"/>
        </w:rPr>
      </w:pPr>
      <w:r>
        <w:rPr>
          <w:rFonts w:hint="eastAsia" w:hAnsi="宋体" w:eastAsia="宋体" w:cs="宋体"/>
          <w:color w:val="auto"/>
          <w:szCs w:val="24"/>
          <w:highlight w:val="none"/>
        </w:rPr>
      </w:r>
      <w:r/>
    </w:p>
    <w:p>
      <w:pPr>
        <w:pStyle w:val="1036"/>
        <w:spacing w:line="360" w:lineRule="auto"/>
        <w:rPr>
          <w:rFonts w:hint="eastAsia" w:hAnsi="宋体" w:eastAsia="宋体" w:cs="宋体"/>
          <w:color w:val="auto"/>
          <w:szCs w:val="24"/>
          <w:highlight w:val="none"/>
        </w:rPr>
      </w:pPr>
      <w:r>
        <w:rPr>
          <w:rFonts w:hint="eastAsia" w:hAnsi="宋体" w:eastAsia="宋体" w:cs="宋体"/>
          <w:color w:val="auto"/>
          <w:szCs w:val="24"/>
          <w:highlight w:val="none"/>
        </w:rPr>
      </w:r>
      <w:r/>
    </w:p>
    <w:p>
      <w:pPr>
        <w:pStyle w:val="1036"/>
        <w:spacing w:line="360" w:lineRule="auto"/>
        <w:rPr>
          <w:rFonts w:hint="eastAsia" w:hAnsi="宋体" w:eastAsia="宋体" w:cs="宋体"/>
          <w:color w:val="auto"/>
          <w:szCs w:val="24"/>
          <w:highlight w:val="none"/>
        </w:rPr>
      </w:pPr>
      <w:r>
        <w:rPr>
          <w:rFonts w:hint="eastAsia" w:hAnsi="宋体" w:eastAsia="宋体" w:cs="宋体"/>
          <w:color w:val="auto"/>
          <w:szCs w:val="24"/>
          <w:highlight w:val="none"/>
        </w:rPr>
      </w:r>
      <w:r/>
    </w:p>
    <w:p>
      <w:pPr>
        <w:pStyle w:val="1036"/>
        <w:spacing w:line="360" w:lineRule="auto"/>
        <w:rPr>
          <w:rFonts w:hint="eastAsia" w:hAnsi="宋体" w:eastAsia="宋体" w:cs="宋体"/>
          <w:color w:val="auto"/>
          <w:szCs w:val="24"/>
          <w:highlight w:val="none"/>
        </w:rPr>
      </w:pPr>
      <w:r>
        <w:rPr>
          <w:rFonts w:hint="eastAsia" w:hAnsi="宋体" w:eastAsia="宋体" w:cs="宋体"/>
          <w:color w:val="auto"/>
          <w:szCs w:val="24"/>
          <w:highlight w:val="none"/>
        </w:rPr>
      </w:r>
      <w:r/>
    </w:p>
    <w:p>
      <w:pPr>
        <w:pStyle w:val="1036"/>
        <w:spacing w:line="360" w:lineRule="auto"/>
        <w:rPr>
          <w:rFonts w:hint="eastAsia" w:hAnsi="宋体" w:eastAsia="宋体" w:cs="宋体"/>
          <w:color w:val="auto"/>
          <w:szCs w:val="24"/>
          <w:highlight w:val="none"/>
        </w:rPr>
      </w:pPr>
      <w:r>
        <w:rPr>
          <w:rFonts w:hint="eastAsia" w:hAnsi="宋体" w:eastAsia="宋体" w:cs="宋体"/>
          <w:color w:val="auto"/>
          <w:szCs w:val="24"/>
          <w:highlight w:val="none"/>
        </w:rPr>
      </w:r>
      <w:r/>
    </w:p>
    <w:p>
      <w:pPr>
        <w:pStyle w:val="1036"/>
        <w:spacing w:line="360" w:lineRule="auto"/>
        <w:rPr>
          <w:rFonts w:hint="eastAsia" w:hAnsi="宋体" w:eastAsia="宋体" w:cs="宋体"/>
          <w:color w:val="auto"/>
          <w:szCs w:val="24"/>
          <w:highlight w:val="none"/>
        </w:rPr>
      </w:pPr>
      <w:r>
        <w:rPr>
          <w:rFonts w:hint="eastAsia" w:hAnsi="宋体" w:eastAsia="宋体" w:cs="宋体"/>
          <w:color w:val="auto"/>
          <w:szCs w:val="24"/>
          <w:highlight w:val="none"/>
        </w:rPr>
      </w:r>
      <w:r/>
    </w:p>
    <w:p>
      <w:pPr>
        <w:pStyle w:val="1036"/>
        <w:spacing w:line="360" w:lineRule="auto"/>
        <w:rPr>
          <w:rFonts w:hint="eastAsia" w:hAnsi="宋体" w:eastAsia="宋体" w:cs="宋体"/>
          <w:color w:val="auto"/>
          <w:szCs w:val="24"/>
          <w:highlight w:val="none"/>
        </w:rPr>
      </w:pPr>
      <w:r>
        <w:rPr>
          <w:rFonts w:hint="eastAsia" w:hAnsi="宋体" w:eastAsia="宋体" w:cs="宋体"/>
          <w:color w:val="auto"/>
          <w:szCs w:val="24"/>
          <w:highlight w:val="none"/>
        </w:rPr>
      </w:r>
      <w:r/>
    </w:p>
    <w:p>
      <w:pPr>
        <w:pStyle w:val="1036"/>
        <w:spacing w:line="360" w:lineRule="auto"/>
        <w:rPr>
          <w:rFonts w:hint="eastAsia" w:hAnsi="宋体" w:eastAsia="宋体" w:cs="宋体"/>
          <w:color w:val="auto"/>
          <w:szCs w:val="24"/>
          <w:highlight w:val="none"/>
        </w:rPr>
      </w:pPr>
      <w:r>
        <w:rPr>
          <w:rFonts w:hint="eastAsia" w:hAnsi="宋体" w:eastAsia="宋体" w:cs="宋体"/>
          <w:color w:val="auto"/>
          <w:szCs w:val="24"/>
          <w:highlight w:val="none"/>
        </w:rPr>
      </w:r>
      <w:r/>
    </w:p>
    <w:p>
      <w:pPr>
        <w:pStyle w:val="1036"/>
        <w:spacing w:line="360" w:lineRule="auto"/>
        <w:rPr>
          <w:rFonts w:hint="eastAsia" w:hAnsi="宋体" w:eastAsia="宋体" w:cs="宋体"/>
          <w:color w:val="auto"/>
          <w:szCs w:val="24"/>
          <w:highlight w:val="none"/>
        </w:rPr>
      </w:pPr>
      <w:r>
        <w:rPr>
          <w:rFonts w:hint="eastAsia" w:hAnsi="宋体" w:eastAsia="宋体" w:cs="宋体"/>
          <w:color w:val="auto"/>
          <w:szCs w:val="24"/>
          <w:highlight w:val="none"/>
        </w:rPr>
      </w:r>
      <w:r/>
    </w:p>
    <w:p>
      <w:pPr>
        <w:pStyle w:val="1036"/>
        <w:spacing w:line="360" w:lineRule="auto"/>
        <w:rPr>
          <w:rFonts w:hint="eastAsia" w:hAnsi="宋体" w:eastAsia="宋体" w:cs="宋体"/>
          <w:color w:val="auto"/>
          <w:szCs w:val="24"/>
          <w:highlight w:val="none"/>
        </w:rPr>
      </w:pPr>
      <w:r>
        <w:rPr>
          <w:rFonts w:hint="eastAsia" w:hAnsi="宋体" w:eastAsia="宋体" w:cs="宋体"/>
          <w:color w:val="auto"/>
          <w:szCs w:val="24"/>
          <w:highlight w:val="none"/>
        </w:rPr>
      </w:r>
      <w:r/>
    </w:p>
    <w:p>
      <w:pPr>
        <w:pStyle w:val="1036"/>
        <w:spacing w:line="360" w:lineRule="auto"/>
        <w:rPr>
          <w:rFonts w:hint="eastAsia" w:hAnsi="宋体" w:eastAsia="宋体" w:cs="宋体"/>
          <w:color w:val="auto"/>
          <w:szCs w:val="24"/>
          <w:highlight w:val="none"/>
        </w:rPr>
      </w:pPr>
      <w:r>
        <w:rPr>
          <w:rFonts w:hint="eastAsia" w:hAnsi="宋体" w:eastAsia="宋体" w:cs="宋体"/>
          <w:color w:val="auto"/>
          <w:szCs w:val="24"/>
          <w:highlight w:val="none"/>
        </w:rPr>
      </w:r>
      <w:r/>
    </w:p>
    <w:p>
      <w:pPr>
        <w:pStyle w:val="1036"/>
        <w:spacing w:line="360" w:lineRule="auto"/>
        <w:rPr>
          <w:rFonts w:hint="eastAsia" w:hAnsi="宋体" w:eastAsia="宋体" w:cs="宋体"/>
          <w:color w:val="auto"/>
          <w:szCs w:val="24"/>
          <w:highlight w:val="none"/>
        </w:rPr>
      </w:pPr>
      <w:r>
        <w:rPr>
          <w:rFonts w:hint="eastAsia" w:hAnsi="宋体" w:eastAsia="宋体" w:cs="宋体"/>
          <w:color w:val="auto"/>
          <w:szCs w:val="24"/>
          <w:highlight w:val="none"/>
        </w:rPr>
      </w:r>
      <w:r/>
    </w:p>
    <w:p>
      <w:pPr>
        <w:pStyle w:val="1036"/>
        <w:spacing w:line="360" w:lineRule="auto"/>
        <w:rPr>
          <w:rFonts w:hint="eastAsia" w:hAnsi="宋体" w:eastAsia="宋体" w:cs="宋体"/>
          <w:color w:val="auto"/>
          <w:szCs w:val="24"/>
          <w:highlight w:val="none"/>
        </w:rPr>
      </w:pPr>
      <w:r>
        <w:rPr>
          <w:rFonts w:hint="eastAsia" w:hAnsi="宋体" w:eastAsia="宋体" w:cs="宋体"/>
          <w:color w:val="auto"/>
          <w:szCs w:val="24"/>
          <w:highlight w:val="none"/>
        </w:rPr>
      </w:r>
      <w:r/>
    </w:p>
    <w:p>
      <w:pPr>
        <w:pStyle w:val="1036"/>
        <w:spacing w:line="360" w:lineRule="auto"/>
        <w:rPr>
          <w:rFonts w:hint="eastAsia" w:hAnsi="宋体" w:eastAsia="宋体" w:cs="宋体"/>
          <w:color w:val="auto"/>
          <w:szCs w:val="24"/>
          <w:highlight w:val="none"/>
        </w:rPr>
      </w:pPr>
      <w:r>
        <w:rPr>
          <w:rFonts w:hint="eastAsia" w:hAnsi="宋体" w:eastAsia="宋体" w:cs="宋体"/>
          <w:color w:val="auto"/>
          <w:szCs w:val="24"/>
          <w:highlight w:val="none"/>
        </w:rPr>
      </w:r>
      <w:r/>
    </w:p>
    <w:p>
      <w:pPr>
        <w:pStyle w:val="908"/>
        <w:ind w:right="420" w:firstLine="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4、开标一览表</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开标一览表</w:t>
      </w:r>
      <w:r/>
    </w:p>
    <w:tbl>
      <w:tblPr>
        <w:tblStyle w:val="904"/>
        <w:tblW w:w="4952" w:type="pct"/>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57"/>
        <w:gridCol w:w="7102"/>
      </w:tblGrid>
      <w:tr>
        <w:trPr>
          <w:cantSplit/>
          <w:trHeight w:val="832"/>
        </w:trPr>
        <w:tc>
          <w:tcPr>
            <w:tcBorders>
              <w:top w:val="single" w:color="auto" w:sz="4" w:space="0"/>
              <w:left w:val="single" w:color="auto" w:sz="4" w:space="0"/>
              <w:bottom w:val="single" w:color="auto" w:sz="4" w:space="0"/>
              <w:right w:val="single" w:color="auto" w:sz="4" w:space="0"/>
            </w:tcBorders>
            <w:tcW w:w="1361"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3638"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投标总价</w:t>
            </w:r>
            <w:r/>
          </w:p>
        </w:tc>
      </w:tr>
      <w:tr>
        <w:trPr>
          <w:cantSplit/>
          <w:trHeight w:val="960"/>
        </w:trPr>
        <w:tc>
          <w:tcPr>
            <w:tcBorders>
              <w:top w:val="single" w:color="auto" w:sz="4" w:space="0"/>
              <w:left w:val="single" w:color="auto" w:sz="4" w:space="0"/>
              <w:bottom w:val="single" w:color="auto" w:sz="4" w:space="0"/>
              <w:right w:val="single" w:color="auto" w:sz="4" w:space="0"/>
            </w:tcBorders>
            <w:tcW w:w="1361" w:type="pct"/>
            <w:vAlign w:val="center"/>
            <w:textDirection w:val="lrTb"/>
            <w:noWrap w:val="false"/>
          </w:tcPr>
          <w:p>
            <w:pPr>
              <w:spacing w:line="360" w:lineRule="auto"/>
              <w:rPr>
                <w:rFonts w:hint="eastAsia" w:ascii="宋体" w:hAnsi="宋体" w:eastAsia="宋体" w:cs="宋体"/>
                <w:color w:val="auto"/>
                <w:sz w:val="24"/>
                <w:szCs w:val="24"/>
                <w:highlight w:val="none"/>
              </w:rPr>
            </w:pPr>
            <w:r/>
            <w:bookmarkStart w:id="7" w:name="XMMC"/>
            <w:r/>
            <w:bookmarkEnd w:id="7"/>
            <w:r/>
            <w:r/>
          </w:p>
        </w:tc>
        <w:tc>
          <w:tcPr>
            <w:tcBorders>
              <w:top w:val="single" w:color="auto" w:sz="4" w:space="0"/>
              <w:left w:val="single" w:color="auto" w:sz="4" w:space="0"/>
              <w:bottom w:val="single" w:color="auto" w:sz="4" w:space="0"/>
              <w:right w:val="single" w:color="auto" w:sz="4" w:space="0"/>
            </w:tcBorders>
            <w:tcW w:w="3638" w:type="pct"/>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人民币小写：</w:t>
            </w:r>
            <w:bookmarkStart w:id="8" w:name="JEXX"/>
            <w:r/>
            <w:bookmarkEnd w:id="8"/>
            <w:r>
              <w:rPr>
                <w:rFonts w:hint="eastAsia" w:ascii="宋体" w:hAnsi="宋体" w:eastAsia="宋体" w:cs="宋体"/>
                <w:color w:val="auto"/>
                <w:sz w:val="24"/>
                <w:szCs w:val="24"/>
                <w:highlight w:val="none"/>
              </w:rPr>
              <w:t xml:space="preserve">                                      （元）</w:t>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2"/>
        <w:jc w:val="left"/>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供应商（单位盖章）：</w:t>
      </w:r>
      <w:r/>
    </w:p>
    <w:p>
      <w:pPr>
        <w:pStyle w:val="922"/>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法定代表人或代理人（签字或盖章）：</w:t>
      </w:r>
      <w:r/>
    </w:p>
    <w:p>
      <w:pPr>
        <w:pStyle w:val="922"/>
        <w:spacing w:line="360" w:lineRule="auto"/>
        <w:rPr>
          <w:rFonts w:hint="eastAsia" w:hAnsi="宋体" w:eastAsia="宋体" w:cs="宋体"/>
          <w:color w:val="auto"/>
          <w:sz w:val="24"/>
          <w:szCs w:val="24"/>
          <w:highlight w:val="none"/>
          <w:lang w:val="zh-CN"/>
        </w:rPr>
      </w:pPr>
      <w:r>
        <w:rPr>
          <w:rFonts w:hint="eastAsia" w:hAnsi="宋体" w:eastAsia="宋体" w:cs="宋体"/>
          <w:color w:val="auto"/>
          <w:sz w:val="24"/>
          <w:szCs w:val="24"/>
          <w:highlight w:val="none"/>
        </w:rPr>
        <w:t xml:space="preserve">日期：     年     月     日</w:t>
      </w:r>
      <w:r/>
    </w:p>
    <w:p>
      <w:pPr>
        <w:pStyle w:val="1036"/>
        <w:spacing w:line="360" w:lineRule="auto"/>
        <w:rPr>
          <w:rFonts w:hint="eastAsia" w:hAnsi="宋体" w:eastAsia="宋体" w:cs="宋体"/>
          <w:b/>
          <w:bCs/>
          <w:color w:val="auto"/>
          <w:sz w:val="24"/>
          <w:szCs w:val="24"/>
          <w:highlight w:val="none"/>
        </w:rPr>
      </w:pPr>
      <w:r>
        <w:rPr>
          <w:rFonts w:hint="eastAsia" w:hAnsi="宋体" w:eastAsia="宋体" w:cs="宋体"/>
          <w:b/>
          <w:bCs/>
          <w:color w:val="auto"/>
          <w:sz w:val="24"/>
          <w:szCs w:val="24"/>
          <w:highlight w:val="none"/>
        </w:rPr>
      </w:r>
      <w:r/>
    </w:p>
    <w:p>
      <w:pPr>
        <w:pStyle w:val="1036"/>
        <w:spacing w:line="360" w:lineRule="auto"/>
        <w:rPr>
          <w:rFonts w:hint="eastAsia" w:hAnsi="宋体" w:eastAsia="宋体" w:cs="宋体"/>
          <w:b/>
          <w:bCs/>
          <w:color w:val="auto"/>
          <w:sz w:val="24"/>
          <w:szCs w:val="24"/>
          <w:highlight w:val="none"/>
        </w:rPr>
      </w:pPr>
      <w:r>
        <w:rPr>
          <w:rFonts w:hint="eastAsia" w:hAnsi="宋体" w:eastAsia="宋体" w:cs="宋体"/>
          <w:b/>
          <w:bCs/>
          <w:color w:val="auto"/>
          <w:sz w:val="24"/>
          <w:szCs w:val="24"/>
          <w:highlight w:val="none"/>
        </w:rPr>
      </w:r>
      <w:r/>
    </w:p>
    <w:p>
      <w:pPr>
        <w:pStyle w:val="1036"/>
        <w:spacing w:line="360" w:lineRule="auto"/>
        <w:rPr>
          <w:rFonts w:hint="eastAsia" w:hAnsi="宋体" w:eastAsia="宋体" w:cs="宋体"/>
          <w:b/>
          <w:bCs/>
          <w:color w:val="auto"/>
          <w:sz w:val="24"/>
          <w:szCs w:val="24"/>
          <w:highlight w:val="none"/>
        </w:rPr>
      </w:pPr>
      <w:r>
        <w:rPr>
          <w:rFonts w:hint="eastAsia" w:hAnsi="宋体" w:eastAsia="宋体" w:cs="宋体"/>
          <w:b/>
          <w:bCs/>
          <w:color w:val="auto"/>
          <w:sz w:val="24"/>
          <w:szCs w:val="24"/>
          <w:highlight w:val="none"/>
        </w:rPr>
      </w:r>
      <w:r/>
    </w:p>
    <w:p>
      <w:pPr>
        <w:pStyle w:val="1036"/>
        <w:spacing w:line="360" w:lineRule="auto"/>
        <w:rPr>
          <w:rFonts w:hint="eastAsia" w:hAnsi="宋体" w:eastAsia="宋体" w:cs="宋体"/>
          <w:b/>
          <w:bCs/>
          <w:color w:val="auto"/>
          <w:sz w:val="24"/>
          <w:szCs w:val="24"/>
          <w:highlight w:val="none"/>
        </w:rPr>
      </w:pPr>
      <w:r>
        <w:rPr>
          <w:rFonts w:hint="eastAsia" w:hAnsi="宋体" w:eastAsia="宋体" w:cs="宋体"/>
          <w:b/>
          <w:bCs/>
          <w:color w:val="auto"/>
          <w:sz w:val="24"/>
          <w:szCs w:val="24"/>
          <w:highlight w:val="none"/>
        </w:rPr>
        <w:br w:type="page" w:clear="all"/>
      </w:r>
      <w:r>
        <w:rPr>
          <w:rFonts w:hint="eastAsia" w:hAnsi="宋体" w:eastAsia="宋体" w:cs="宋体"/>
          <w:b/>
          <w:bCs/>
          <w:color w:val="auto"/>
          <w:sz w:val="24"/>
          <w:szCs w:val="24"/>
          <w:highlight w:val="none"/>
        </w:rPr>
        <w:t xml:space="preserve">5、磋商响应明细报价表</w:t>
      </w:r>
      <w:r/>
    </w:p>
    <w:p>
      <w:pPr>
        <w:pStyle w:val="1036"/>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项目响应报价表</w:t>
      </w:r>
      <w:r/>
    </w:p>
    <w:p>
      <w:pPr>
        <w:pStyle w:val="1036"/>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tbl>
      <w:tblPr>
        <w:tblStyle w:val="904"/>
        <w:tblW w:w="96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
        <w:gridCol w:w="3332"/>
        <w:gridCol w:w="906"/>
        <w:gridCol w:w="906"/>
        <w:gridCol w:w="906"/>
        <w:gridCol w:w="906"/>
        <w:gridCol w:w="1846"/>
      </w:tblGrid>
      <w:tr>
        <w:trPr>
          <w:jc w:val="center"/>
          <w:trHeight w:val="567"/>
        </w:trPr>
        <w:tc>
          <w:tcPr>
            <w:tcW w:w="85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序号</w:t>
            </w:r>
            <w:r/>
          </w:p>
        </w:tc>
        <w:tc>
          <w:tcPr>
            <w:tcW w:w="33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费用条目</w:t>
            </w:r>
            <w:r/>
          </w:p>
        </w:tc>
        <w:tc>
          <w:tcPr>
            <w:tcW w:w="90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单位</w:t>
            </w:r>
            <w:r/>
          </w:p>
        </w:tc>
        <w:tc>
          <w:tcPr>
            <w:tcW w:w="90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数量</w:t>
            </w:r>
            <w:r/>
          </w:p>
        </w:tc>
        <w:tc>
          <w:tcPr>
            <w:tcW w:w="90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单价</w:t>
            </w:r>
            <w:r/>
          </w:p>
        </w:tc>
        <w:tc>
          <w:tcPr>
            <w:tcW w:w="90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总价</w:t>
            </w:r>
            <w:r/>
          </w:p>
        </w:tc>
        <w:tc>
          <w:tcPr>
            <w:tcW w:w="184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备注</w:t>
            </w:r>
            <w:r/>
          </w:p>
        </w:tc>
      </w:tr>
      <w:tr>
        <w:trPr>
          <w:jc w:val="center"/>
          <w:trHeight w:val="567"/>
        </w:trPr>
        <w:tc>
          <w:tcPr>
            <w:tcW w:w="852" w:type="dxa"/>
            <w:vAlign w:val="center"/>
            <w:textDirection w:val="lrTb"/>
            <w:noWrap w:val="false"/>
          </w:tcPr>
          <w:p>
            <w:pPr>
              <w:pStyle w:val="908"/>
              <w:ind w:right="420"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3332" w:type="dxa"/>
            <w:vAlign w:val="center"/>
            <w:textDirection w:val="lrTb"/>
            <w:noWrap w:val="false"/>
          </w:tcPr>
          <w:p>
            <w:pPr>
              <w:pStyle w:val="908"/>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06" w:type="dxa"/>
            <w:vAlign w:val="center"/>
            <w:textDirection w:val="lrTb"/>
            <w:noWrap w:val="false"/>
          </w:tcPr>
          <w:p>
            <w:pPr>
              <w:pStyle w:val="908"/>
              <w:ind w:right="420"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06" w:type="dxa"/>
            <w:vAlign w:val="center"/>
            <w:textDirection w:val="lrTb"/>
            <w:noWrap w:val="false"/>
          </w:tcPr>
          <w:p>
            <w:pPr>
              <w:pStyle w:val="908"/>
              <w:ind w:right="420"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06" w:type="dxa"/>
            <w:vAlign w:val="center"/>
            <w:textDirection w:val="lrTb"/>
            <w:noWrap w:val="false"/>
          </w:tcPr>
          <w:p>
            <w:pPr>
              <w:pStyle w:val="908"/>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06" w:type="dxa"/>
            <w:vAlign w:val="center"/>
            <w:textDirection w:val="lrTb"/>
            <w:noWrap w:val="false"/>
          </w:tcPr>
          <w:p>
            <w:pPr>
              <w:pStyle w:val="908"/>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846" w:type="dxa"/>
            <w:vAlign w:val="center"/>
            <w:textDirection w:val="lrTb"/>
            <w:noWrap w:val="false"/>
          </w:tcPr>
          <w:p>
            <w:pPr>
              <w:pStyle w:val="908"/>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67"/>
        </w:trPr>
        <w:tc>
          <w:tcPr>
            <w:tcW w:w="852" w:type="dxa"/>
            <w:vAlign w:val="center"/>
            <w:textDirection w:val="lrTb"/>
            <w:noWrap w:val="false"/>
          </w:tcPr>
          <w:p>
            <w:pPr>
              <w:pStyle w:val="908"/>
              <w:ind w:right="420"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3332" w:type="dxa"/>
            <w:vAlign w:val="center"/>
            <w:textDirection w:val="lrTb"/>
            <w:noWrap w:val="false"/>
          </w:tcPr>
          <w:p>
            <w:pPr>
              <w:pStyle w:val="908"/>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06" w:type="dxa"/>
            <w:vAlign w:val="center"/>
            <w:textDirection w:val="lrTb"/>
            <w:noWrap w:val="false"/>
          </w:tcPr>
          <w:p>
            <w:pPr>
              <w:pStyle w:val="908"/>
              <w:ind w:right="420"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06" w:type="dxa"/>
            <w:vAlign w:val="center"/>
            <w:textDirection w:val="lrTb"/>
            <w:noWrap w:val="false"/>
          </w:tcPr>
          <w:p>
            <w:pPr>
              <w:pStyle w:val="908"/>
              <w:ind w:right="420"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06" w:type="dxa"/>
            <w:vAlign w:val="center"/>
            <w:textDirection w:val="lrTb"/>
            <w:noWrap w:val="false"/>
          </w:tcPr>
          <w:p>
            <w:pPr>
              <w:pStyle w:val="908"/>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06" w:type="dxa"/>
            <w:vAlign w:val="center"/>
            <w:textDirection w:val="lrTb"/>
            <w:noWrap w:val="false"/>
          </w:tcPr>
          <w:p>
            <w:pPr>
              <w:pStyle w:val="908"/>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846" w:type="dxa"/>
            <w:vAlign w:val="center"/>
            <w:textDirection w:val="lrTb"/>
            <w:noWrap w:val="false"/>
          </w:tcPr>
          <w:p>
            <w:pPr>
              <w:pStyle w:val="908"/>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67"/>
        </w:trPr>
        <w:tc>
          <w:tcPr>
            <w:tcW w:w="852" w:type="dxa"/>
            <w:vAlign w:val="center"/>
            <w:textDirection w:val="lrTb"/>
            <w:noWrap w:val="false"/>
          </w:tcPr>
          <w:p>
            <w:pPr>
              <w:pStyle w:val="908"/>
              <w:ind w:right="420"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3332" w:type="dxa"/>
            <w:vAlign w:val="center"/>
            <w:textDirection w:val="lrTb"/>
            <w:noWrap w:val="false"/>
          </w:tcPr>
          <w:p>
            <w:pPr>
              <w:pStyle w:val="908"/>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06" w:type="dxa"/>
            <w:vAlign w:val="center"/>
            <w:textDirection w:val="lrTb"/>
            <w:noWrap w:val="false"/>
          </w:tcPr>
          <w:p>
            <w:pPr>
              <w:pStyle w:val="908"/>
              <w:ind w:right="420"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06" w:type="dxa"/>
            <w:vAlign w:val="center"/>
            <w:textDirection w:val="lrTb"/>
            <w:noWrap w:val="false"/>
          </w:tcPr>
          <w:p>
            <w:pPr>
              <w:pStyle w:val="908"/>
              <w:ind w:right="420"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06" w:type="dxa"/>
            <w:vAlign w:val="center"/>
            <w:textDirection w:val="lrTb"/>
            <w:noWrap w:val="false"/>
          </w:tcPr>
          <w:p>
            <w:pPr>
              <w:pStyle w:val="908"/>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06" w:type="dxa"/>
            <w:vAlign w:val="center"/>
            <w:textDirection w:val="lrTb"/>
            <w:noWrap w:val="false"/>
          </w:tcPr>
          <w:p>
            <w:pPr>
              <w:pStyle w:val="908"/>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846" w:type="dxa"/>
            <w:vAlign w:val="center"/>
            <w:textDirection w:val="lrTb"/>
            <w:noWrap w:val="false"/>
          </w:tcPr>
          <w:p>
            <w:pPr>
              <w:pStyle w:val="908"/>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67"/>
        </w:trPr>
        <w:tc>
          <w:tcPr>
            <w:gridSpan w:val="2"/>
            <w:tcW w:w="4184" w:type="dxa"/>
            <w:vAlign w:val="center"/>
            <w:textDirection w:val="lrTb"/>
            <w:noWrap w:val="false"/>
          </w:tcPr>
          <w:p>
            <w:pPr>
              <w:pStyle w:val="908"/>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合计金额</w:t>
            </w:r>
            <w:r/>
          </w:p>
        </w:tc>
        <w:tc>
          <w:tcPr>
            <w:gridSpan w:val="5"/>
            <w:tcW w:w="5470" w:type="dxa"/>
            <w:vAlign w:val="center"/>
            <w:textDirection w:val="lrTb"/>
            <w:noWrap w:val="false"/>
          </w:tcPr>
          <w:p>
            <w:pPr>
              <w:pStyle w:val="908"/>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人民币（小写）（¥</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元）</w:t>
            </w:r>
            <w:r/>
          </w:p>
        </w:tc>
      </w:tr>
    </w:tbl>
    <w:p>
      <w:pPr>
        <w:pStyle w:val="908"/>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08"/>
        <w:ind w:right="118"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注：供应商须对全部采购内容进行报价。本表中合计金额应与“开标一览表”投标总价一致，否则，以《开标一览表》为准。</w:t>
      </w:r>
      <w:r/>
    </w:p>
    <w:p>
      <w:pPr>
        <w:pStyle w:val="908"/>
        <w:ind w:right="42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08"/>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供应商（单位盖章）：</w:t>
      </w:r>
      <w:r/>
    </w:p>
    <w:p>
      <w:pPr>
        <w:pStyle w:val="908"/>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法定代表人或代理人（签字或盖章）：</w:t>
      </w:r>
      <w:r/>
    </w:p>
    <w:p>
      <w:pPr>
        <w:pStyle w:val="908"/>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spacing w:line="360" w:lineRule="auto"/>
        <w:rPr>
          <w:rFonts w:hint="eastAsia" w:ascii="宋体" w:hAnsi="宋体" w:eastAsia="宋体" w:cs="宋体"/>
          <w:b/>
          <w:color w:val="auto"/>
          <w:sz w:val="24"/>
          <w:szCs w:val="24"/>
          <w:highlight w:val="none"/>
          <w:lang w:val="zh-CN"/>
        </w:rPr>
      </w:pPr>
      <w:r>
        <w:rPr>
          <w:rFonts w:ascii="宋体" w:hAnsi="宋体" w:eastAsia="宋体" w:cs="宋体"/>
          <w:b/>
          <w:bCs/>
          <w:color w:val="auto"/>
          <w:sz w:val="24"/>
          <w:szCs w:val="24"/>
          <w:highlight w:val="none"/>
        </w:rPr>
        <w:br w:type="page" w:clear="all"/>
      </w:r>
      <w:r>
        <w:rPr>
          <w:rFonts w:hint="eastAsia" w:ascii="宋体" w:hAnsi="宋体" w:eastAsia="宋体" w:cs="宋体"/>
          <w:b/>
          <w:color w:val="auto"/>
          <w:sz w:val="24"/>
          <w:szCs w:val="24"/>
          <w:highlight w:val="none"/>
        </w:rPr>
        <w:t xml:space="preserve">6</w:t>
      </w:r>
      <w:r>
        <w:rPr>
          <w:rFonts w:hint="eastAsia" w:ascii="宋体" w:hAnsi="宋体" w:eastAsia="宋体" w:cs="宋体"/>
          <w:b/>
          <w:color w:val="auto"/>
          <w:sz w:val="24"/>
          <w:szCs w:val="24"/>
          <w:highlight w:val="none"/>
          <w:lang w:val="zh-CN"/>
        </w:rPr>
        <w:t xml:space="preserve">、中小企业声明函</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苏州正杰招投标咨询服务有限公司</w:t>
      </w:r>
      <w:r>
        <w:rPr>
          <w:rFonts w:hint="eastAsia" w:ascii="宋体" w:hAnsi="宋体" w:eastAsia="宋体" w:cs="宋体"/>
          <w:color w:val="auto"/>
          <w:sz w:val="24"/>
          <w:szCs w:val="24"/>
          <w:highlight w:val="none"/>
          <w:lang w:val="zh-CN"/>
        </w:rPr>
        <w:t xml:space="preserve">：</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lang w:val="zh-CN"/>
        </w:rPr>
        <w:t xml:space="preserve">（单位名称）</w:t>
      </w:r>
      <w:r>
        <w:rPr>
          <w:rFonts w:hint="eastAsia" w:ascii="宋体" w:hAnsi="宋体" w:eastAsia="宋体" w:cs="宋体"/>
          <w:color w:val="auto"/>
          <w:sz w:val="24"/>
          <w:szCs w:val="24"/>
          <w:highlight w:val="none"/>
          <w:lang w:val="zh-CN"/>
        </w:rPr>
        <w:t xml:space="preserve">的</w:t>
      </w:r>
      <w:r>
        <w:rPr>
          <w:rFonts w:hint="eastAsia" w:ascii="宋体" w:hAnsi="宋体" w:eastAsia="宋体" w:cs="宋体"/>
          <w:color w:val="auto"/>
          <w:sz w:val="24"/>
          <w:szCs w:val="24"/>
          <w:highlight w:val="none"/>
          <w:u w:val="single"/>
          <w:lang w:val="zh-CN"/>
        </w:rPr>
        <w:t xml:space="preserve">（项目名称）</w:t>
      </w:r>
      <w:r>
        <w:rPr>
          <w:rFonts w:hint="eastAsia" w:ascii="宋体" w:hAnsi="宋体" w:eastAsia="宋体" w:cs="宋体"/>
          <w:color w:val="auto"/>
          <w:sz w:val="24"/>
          <w:szCs w:val="24"/>
          <w:highlight w:val="none"/>
          <w:lang w:val="zh-CN"/>
        </w:rPr>
        <w:t xml:space="preserve">采购活动，服务全部由符合政策要求的中小企业承接。相关企业（含联合体中的中小企业、签订分包意向协议的中小企业）的具体情况如下：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u w:val="single"/>
          <w:lang w:val="zh-CN"/>
        </w:rPr>
        <w:t xml:space="preserve">（标的名称）</w:t>
      </w:r>
      <w:r>
        <w:rPr>
          <w:rFonts w:hint="eastAsia" w:ascii="宋体" w:hAnsi="宋体" w:eastAsia="宋体" w:cs="宋体"/>
          <w:color w:val="auto"/>
          <w:sz w:val="24"/>
          <w:szCs w:val="24"/>
          <w:highlight w:val="none"/>
          <w:lang w:val="zh-CN"/>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zh-CN"/>
        </w:rPr>
        <w:t xml:space="preserve">（招标文件中明确的所属行业）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 xml:space="preserve">；承建（承接）企业为</w:t>
      </w:r>
      <w:r>
        <w:rPr>
          <w:rFonts w:hint="eastAsia" w:ascii="宋体" w:hAnsi="宋体" w:eastAsia="宋体" w:cs="宋体"/>
          <w:color w:val="auto"/>
          <w:sz w:val="24"/>
          <w:szCs w:val="24"/>
          <w:highlight w:val="none"/>
          <w:u w:val="single"/>
          <w:lang w:val="zh-CN"/>
        </w:rPr>
        <w:t xml:space="preserve">（企业名称）</w:t>
      </w:r>
      <w:r>
        <w:rPr>
          <w:rFonts w:hint="eastAsia" w:ascii="宋体" w:hAnsi="宋体" w:eastAsia="宋体" w:cs="宋体"/>
          <w:color w:val="auto"/>
          <w:sz w:val="24"/>
          <w:szCs w:val="24"/>
          <w:highlight w:val="none"/>
          <w:lang w:val="zh-CN"/>
        </w:rPr>
        <w:t xml:space="preserve">，从业人员</w:t>
      </w:r>
      <w:r>
        <w:rPr>
          <w:rFonts w:hint="eastAsia" w:ascii="宋体" w:hAnsi="宋体" w:eastAsia="宋体" w:cs="宋体"/>
          <w:color w:val="auto"/>
          <w:sz w:val="24"/>
          <w:szCs w:val="24"/>
          <w:highlight w:val="none"/>
        </w:rPr>
        <w:t xml:space="preserve">________</w:t>
      </w:r>
      <w:r>
        <w:rPr>
          <w:rFonts w:hint="eastAsia" w:ascii="宋体" w:hAnsi="宋体" w:eastAsia="宋体" w:cs="宋体"/>
          <w:color w:val="auto"/>
          <w:sz w:val="24"/>
          <w:szCs w:val="24"/>
          <w:highlight w:val="none"/>
          <w:lang w:val="zh-CN"/>
        </w:rPr>
        <w:t xml:space="preserve">人，营业收入为</w:t>
      </w:r>
      <w:r>
        <w:rPr>
          <w:rFonts w:hint="eastAsia" w:ascii="宋体" w:hAnsi="宋体" w:eastAsia="宋体" w:cs="宋体"/>
          <w:color w:val="auto"/>
          <w:sz w:val="24"/>
          <w:szCs w:val="24"/>
          <w:highlight w:val="none"/>
        </w:rPr>
        <w:t xml:space="preserve">________</w:t>
      </w:r>
      <w:r>
        <w:rPr>
          <w:rFonts w:hint="eastAsia" w:ascii="宋体" w:hAnsi="宋体" w:eastAsia="宋体" w:cs="宋体"/>
          <w:color w:val="auto"/>
          <w:sz w:val="24"/>
          <w:szCs w:val="24"/>
          <w:highlight w:val="none"/>
          <w:lang w:val="zh-CN"/>
        </w:rPr>
        <w:t xml:space="preserve">万元，资产总额为</w:t>
      </w:r>
      <w:r>
        <w:rPr>
          <w:rFonts w:hint="eastAsia" w:ascii="宋体" w:hAnsi="宋体" w:eastAsia="宋体" w:cs="宋体"/>
          <w:color w:val="auto"/>
          <w:sz w:val="24"/>
          <w:szCs w:val="24"/>
          <w:highlight w:val="none"/>
        </w:rPr>
        <w:t xml:space="preserve">________</w:t>
      </w:r>
      <w:r>
        <w:rPr>
          <w:rFonts w:hint="eastAsia" w:ascii="宋体" w:hAnsi="宋体" w:eastAsia="宋体" w:cs="宋体"/>
          <w:color w:val="auto"/>
          <w:sz w:val="24"/>
          <w:szCs w:val="24"/>
          <w:highlight w:val="none"/>
          <w:lang w:val="zh-CN"/>
        </w:rPr>
        <w:t xml:space="preserve">万元，属于</w:t>
      </w:r>
      <w:r>
        <w:rPr>
          <w:rFonts w:hint="eastAsia" w:ascii="宋体" w:hAnsi="宋体" w:eastAsia="宋体" w:cs="宋体"/>
          <w:color w:val="auto"/>
          <w:sz w:val="24"/>
          <w:szCs w:val="24"/>
          <w:highlight w:val="none"/>
          <w:u w:val="single"/>
          <w:lang w:val="zh-CN"/>
        </w:rPr>
        <w:t xml:space="preserve">      （中型企业、小型企业、微型企业）</w:t>
      </w:r>
      <w:r>
        <w:rPr>
          <w:rFonts w:hint="eastAsia" w:ascii="宋体" w:hAnsi="宋体" w:eastAsia="宋体" w:cs="宋体"/>
          <w:color w:val="auto"/>
          <w:sz w:val="24"/>
          <w:szCs w:val="24"/>
          <w:highlight w:val="none"/>
          <w:lang w:val="zh-CN"/>
        </w:rPr>
        <w:t xml:space="preserve">；</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u w:val="single"/>
          <w:lang w:val="zh-CN"/>
        </w:rPr>
        <w:t xml:space="preserve">（标的名称）</w:t>
      </w:r>
      <w:r>
        <w:rPr>
          <w:rFonts w:hint="eastAsia" w:ascii="宋体" w:hAnsi="宋体" w:eastAsia="宋体" w:cs="宋体"/>
          <w:color w:val="auto"/>
          <w:sz w:val="24"/>
          <w:szCs w:val="24"/>
          <w:highlight w:val="none"/>
          <w:lang w:val="zh-CN"/>
        </w:rPr>
        <w:t xml:space="preserve">，属于</w:t>
      </w:r>
      <w:r>
        <w:rPr>
          <w:rFonts w:hint="eastAsia" w:ascii="宋体" w:hAnsi="宋体" w:eastAsia="宋体" w:cs="宋体"/>
          <w:color w:val="auto"/>
          <w:sz w:val="24"/>
          <w:szCs w:val="24"/>
          <w:highlight w:val="none"/>
          <w:u w:val="single"/>
          <w:lang w:val="zh-CN"/>
        </w:rPr>
        <w:t xml:space="preserve">（采购文件中明确的所属行业）</w:t>
      </w:r>
      <w:r>
        <w:rPr>
          <w:rFonts w:hint="eastAsia" w:ascii="宋体" w:hAnsi="宋体" w:eastAsia="宋体" w:cs="宋体"/>
          <w:color w:val="auto"/>
          <w:sz w:val="24"/>
          <w:szCs w:val="24"/>
          <w:highlight w:val="none"/>
          <w:lang w:val="zh-CN"/>
        </w:rPr>
        <w:t xml:space="preserve">；承建（承接）企业为</w:t>
      </w:r>
      <w:r>
        <w:rPr>
          <w:rFonts w:hint="eastAsia" w:ascii="宋体" w:hAnsi="宋体" w:eastAsia="宋体" w:cs="宋体"/>
          <w:color w:val="auto"/>
          <w:sz w:val="24"/>
          <w:szCs w:val="24"/>
          <w:highlight w:val="none"/>
          <w:u w:val="single"/>
          <w:lang w:val="zh-CN"/>
        </w:rPr>
        <w:t xml:space="preserve">（企业名称）</w:t>
      </w:r>
      <w:r>
        <w:rPr>
          <w:rFonts w:hint="eastAsia" w:ascii="宋体" w:hAnsi="宋体" w:eastAsia="宋体" w:cs="宋体"/>
          <w:color w:val="auto"/>
          <w:sz w:val="24"/>
          <w:szCs w:val="24"/>
          <w:highlight w:val="none"/>
          <w:lang w:val="zh-CN"/>
        </w:rPr>
        <w:t xml:space="preserve">，从业人员</w:t>
      </w:r>
      <w:r>
        <w:rPr>
          <w:rFonts w:hint="eastAsia" w:ascii="宋体" w:hAnsi="宋体" w:eastAsia="宋体" w:cs="宋体"/>
          <w:color w:val="auto"/>
          <w:sz w:val="24"/>
          <w:szCs w:val="24"/>
          <w:highlight w:val="none"/>
        </w:rPr>
        <w:t xml:space="preserve">________</w:t>
      </w:r>
      <w:r>
        <w:rPr>
          <w:rFonts w:hint="eastAsia" w:ascii="宋体" w:hAnsi="宋体" w:eastAsia="宋体" w:cs="宋体"/>
          <w:color w:val="auto"/>
          <w:sz w:val="24"/>
          <w:szCs w:val="24"/>
          <w:highlight w:val="none"/>
          <w:lang w:val="zh-CN"/>
        </w:rPr>
        <w:t xml:space="preserve">人，营业收入为</w:t>
      </w:r>
      <w:r>
        <w:rPr>
          <w:rFonts w:hint="eastAsia" w:ascii="宋体" w:hAnsi="宋体" w:eastAsia="宋体" w:cs="宋体"/>
          <w:color w:val="auto"/>
          <w:sz w:val="24"/>
          <w:szCs w:val="24"/>
          <w:highlight w:val="none"/>
        </w:rPr>
        <w:t xml:space="preserve">________</w:t>
      </w:r>
      <w:r>
        <w:rPr>
          <w:rFonts w:hint="eastAsia" w:ascii="宋体" w:hAnsi="宋体" w:eastAsia="宋体" w:cs="宋体"/>
          <w:color w:val="auto"/>
          <w:sz w:val="24"/>
          <w:szCs w:val="24"/>
          <w:highlight w:val="none"/>
          <w:lang w:val="zh-CN"/>
        </w:rPr>
        <w:t xml:space="preserve">万元，资产总额为</w:t>
      </w:r>
      <w:r>
        <w:rPr>
          <w:rFonts w:hint="eastAsia" w:ascii="宋体" w:hAnsi="宋体" w:eastAsia="宋体" w:cs="宋体"/>
          <w:color w:val="auto"/>
          <w:sz w:val="24"/>
          <w:szCs w:val="24"/>
          <w:highlight w:val="none"/>
        </w:rPr>
        <w:t xml:space="preserve">________</w:t>
      </w:r>
      <w:r>
        <w:rPr>
          <w:rFonts w:hint="eastAsia" w:ascii="宋体" w:hAnsi="宋体" w:eastAsia="宋体" w:cs="宋体"/>
          <w:color w:val="auto"/>
          <w:sz w:val="24"/>
          <w:szCs w:val="24"/>
          <w:highlight w:val="none"/>
          <w:lang w:val="zh-CN"/>
        </w:rPr>
        <w:t xml:space="preserve">万元，属于</w:t>
      </w:r>
      <w:r>
        <w:rPr>
          <w:rFonts w:hint="eastAsia" w:ascii="宋体" w:hAnsi="宋体" w:eastAsia="宋体" w:cs="宋体"/>
          <w:color w:val="auto"/>
          <w:sz w:val="24"/>
          <w:szCs w:val="24"/>
          <w:highlight w:val="none"/>
          <w:u w:val="single"/>
          <w:lang w:val="zh-CN"/>
        </w:rPr>
        <w:t xml:space="preserve">       （中型企业、小型企业、微型企业）</w:t>
      </w:r>
      <w:r>
        <w:rPr>
          <w:rFonts w:hint="eastAsia" w:ascii="宋体" w:hAnsi="宋体" w:eastAsia="宋体" w:cs="宋体"/>
          <w:color w:val="auto"/>
          <w:sz w:val="24"/>
          <w:szCs w:val="24"/>
          <w:highlight w:val="none"/>
          <w:lang w:val="zh-CN"/>
        </w:rPr>
        <w:t xml:space="preserve">；</w:t>
      </w:r>
      <w:r/>
    </w:p>
    <w:p>
      <w:pPr>
        <w:ind w:firstLine="7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p>
    <w:p>
      <w:pPr>
        <w:ind w:firstLine="7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以上企业，不属于大企业的分支机构，不存在控股股东为大企业的情形，也不存在与大企业的负责人为同一人的情形。</w:t>
      </w:r>
      <w:r/>
    </w:p>
    <w:p>
      <w:pPr>
        <w:ind w:firstLine="7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本企业对上述声明内容的真实性负责。如有虚假，将依法承担相应责任。</w:t>
      </w:r>
      <w:r/>
    </w:p>
    <w:p>
      <w:pPr>
        <w:ind w:firstLine="49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企业名称（盖章）：</w:t>
      </w:r>
      <w:r/>
    </w:p>
    <w:p>
      <w:pPr>
        <w:ind w:firstLine="49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日期：</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从业人员、营业收入、资产总额填报上一年度数据，无上一年度数据的新成立企业可不填报。</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若供应商未在此函中对（中型企业、小型企业、微型企业）明确选择，视为非中小企业，不享受中小企业扶持政策。</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若供应商提供的“中小企业声明函”内容不实的，属于提供虚假材料谋取中标、成交，依照《中华人民共和国政府采购法》等国家有关规定追究相应责任。</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5、成交供应商为中小企业的，《中小企业声明函》将随成交结果同时公告。</w:t>
      </w: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24"/>
          <w:szCs w:val="24"/>
          <w:highlight w:val="none"/>
        </w:rPr>
        <w:t xml:space="preserve">附：中小企业划型标准规定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（一）农、林、牧、渔业。</w:t>
      </w:r>
      <w:r>
        <w:rPr>
          <w:rFonts w:hint="eastAsia" w:ascii="宋体" w:hAnsi="宋体" w:eastAsia="宋体" w:cs="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（二）工业。</w:t>
      </w:r>
      <w:r>
        <w:rPr>
          <w:rFonts w:hint="eastAsia" w:ascii="宋体" w:hAnsi="宋体" w:eastAsia="宋体" w:cs="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（三）建筑业。</w:t>
      </w:r>
      <w:r>
        <w:rPr>
          <w:rFonts w:hint="eastAsia" w:ascii="宋体" w:hAnsi="宋体" w:eastAsia="宋体" w:cs="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（四）批发业。</w:t>
      </w:r>
      <w:r>
        <w:rPr>
          <w:rFonts w:hint="eastAsia" w:ascii="宋体" w:hAnsi="宋体" w:eastAsia="宋体" w:cs="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（五）零售业。</w:t>
      </w:r>
      <w:r>
        <w:rPr>
          <w:rFonts w:hint="eastAsia" w:ascii="宋体" w:hAnsi="宋体" w:eastAsia="宋体" w:cs="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（六）交通运输业。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（七）仓储业。</w:t>
      </w:r>
      <w:r>
        <w:rPr>
          <w:rFonts w:hint="eastAsia" w:ascii="宋体" w:hAnsi="宋体" w:eastAsia="宋体" w:cs="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（八）邮政业。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（九）住宿业。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（十）餐饮业。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（十一）信息传输业。</w:t>
      </w:r>
      <w:r>
        <w:rPr>
          <w:rFonts w:hint="eastAsia" w:ascii="宋体" w:hAnsi="宋体" w:eastAsia="宋体" w:cs="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（十二）软件和信息技术服务业。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（十三）房地产开发经营。</w:t>
      </w:r>
      <w:r>
        <w:rPr>
          <w:rFonts w:hint="eastAsia" w:ascii="宋体" w:hAnsi="宋体" w:eastAsia="宋体" w:cs="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（十四）物业管理。</w:t>
      </w:r>
      <w:r>
        <w:rPr>
          <w:rFonts w:hint="eastAsia" w:ascii="宋体" w:hAnsi="宋体" w:eastAsia="宋体" w:cs="宋体"/>
          <w:color w:val="auto"/>
          <w:sz w:val="24"/>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（十五）租赁和商务服务业。</w:t>
      </w:r>
      <w:r>
        <w:rPr>
          <w:rFonts w:hint="eastAsia" w:ascii="宋体" w:hAnsi="宋体" w:eastAsia="宋体" w:cs="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（十六）其他未列明行业。</w:t>
      </w:r>
      <w:r>
        <w:rPr>
          <w:rFonts w:hint="eastAsia" w:ascii="宋体" w:hAnsi="宋体" w:eastAsia="宋体" w:cs="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spacing w:line="360" w:lineRule="auto"/>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br w:type="page" w:clear="all"/>
      </w:r>
      <w:r>
        <w:rPr>
          <w:rFonts w:hint="eastAsia" w:ascii="宋体" w:hAnsi="宋体" w:eastAsia="宋体" w:cs="宋体"/>
          <w:b/>
          <w:bCs/>
          <w:color w:val="auto"/>
          <w:sz w:val="24"/>
          <w:szCs w:val="24"/>
          <w:highlight w:val="none"/>
        </w:rPr>
        <w:t xml:space="preserve">7、残疾人福利性单位声明函</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本单位对上述声明的真实性负责。如有虚假，将依法承担相应责任。</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08"/>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投标人（单位盖章）：</w:t>
      </w:r>
      <w:r/>
    </w:p>
    <w:p>
      <w:pPr>
        <w:pStyle w:val="908"/>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法定代表人或代理人（签字或盖章）：</w:t>
      </w:r>
      <w:r/>
    </w:p>
    <w:p>
      <w:pPr>
        <w:pStyle w:val="908"/>
        <w:ind w:right="420"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40" w:lineRule="exact"/>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8、服务和商务偏离表</w:t>
      </w:r>
      <w:r/>
    </w:p>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服务条款偏离表</w:t>
      </w:r>
      <w:r/>
    </w:p>
    <w:p>
      <w:pPr>
        <w:spacing w:line="38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单位名称（盖章）：                      </w:t>
      </w:r>
      <w:r/>
    </w:p>
    <w:tbl>
      <w:tblPr>
        <w:tblStyle w:val="9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2"/>
        <w:gridCol w:w="1613"/>
        <w:gridCol w:w="1819"/>
        <w:gridCol w:w="1623"/>
        <w:gridCol w:w="1935"/>
        <w:gridCol w:w="1804"/>
      </w:tblGrid>
      <w:tr>
        <w:trPr>
          <w:trHeight w:val="6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2" w:type="dxa"/>
            <w:vAlign w:val="center"/>
            <w:textDirection w:val="lrTb"/>
            <w:noWrap w:val="false"/>
          </w:tcPr>
          <w:p>
            <w:pPr>
              <w:jc w:val="cente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3" w:type="dxa"/>
            <w:vAlign w:val="center"/>
            <w:textDirection w:val="lrTb"/>
            <w:noWrap w:val="false"/>
          </w:tcPr>
          <w:p>
            <w:pPr>
              <w:jc w:val="cente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jc w:val="cente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3" w:type="dxa"/>
            <w:vAlign w:val="center"/>
            <w:textDirection w:val="lrTb"/>
            <w:noWrap w:val="false"/>
          </w:tcPr>
          <w:p>
            <w:pPr>
              <w:jc w:val="cente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jc w:val="cente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偏离/响应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04" w:type="dxa"/>
            <w:vAlign w:val="center"/>
            <w:textDirection w:val="lrTb"/>
            <w:noWrap w:val="false"/>
          </w:tcPr>
          <w:p>
            <w:pPr>
              <w:jc w:val="cente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说明</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2" w:type="dxa"/>
            <w:textDirection w:val="lrTb"/>
            <w:noWrap w:val="false"/>
          </w:tcPr>
          <w:p>
            <w:pP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dxa"/>
            <w:textDirection w:val="lrTb"/>
            <w:noWrap w:val="false"/>
          </w:tcPr>
          <w:p>
            <w:pP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9" w:type="dxa"/>
            <w:textDirection w:val="lrTb"/>
            <w:noWrap w:val="false"/>
          </w:tcPr>
          <w:p>
            <w:pP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3" w:type="dxa"/>
            <w:textDirection w:val="lrTb"/>
            <w:noWrap w:val="false"/>
          </w:tcPr>
          <w:p>
            <w:pP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5" w:type="dxa"/>
            <w:textDirection w:val="lrTb"/>
            <w:noWrap w:val="false"/>
          </w:tcPr>
          <w:p>
            <w:pP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4" w:type="dxa"/>
            <w:textDirection w:val="lrTb"/>
            <w:noWrap w:val="false"/>
          </w:tcPr>
          <w:p>
            <w:pP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2" w:type="dxa"/>
            <w:textDirection w:val="lrTb"/>
            <w:noWrap w:val="false"/>
          </w:tcPr>
          <w:p>
            <w:pP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dxa"/>
            <w:textDirection w:val="lrTb"/>
            <w:noWrap w:val="false"/>
          </w:tcPr>
          <w:p>
            <w:pP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9" w:type="dxa"/>
            <w:textDirection w:val="lrTb"/>
            <w:noWrap w:val="false"/>
          </w:tcPr>
          <w:p>
            <w:pP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3" w:type="dxa"/>
            <w:textDirection w:val="lrTb"/>
            <w:noWrap w:val="false"/>
          </w:tcPr>
          <w:p>
            <w:pP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5" w:type="dxa"/>
            <w:textDirection w:val="lrTb"/>
            <w:noWrap w:val="false"/>
          </w:tcPr>
          <w:p>
            <w:pP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4" w:type="dxa"/>
            <w:textDirection w:val="lrTb"/>
            <w:noWrap w:val="false"/>
          </w:tcPr>
          <w:p>
            <w:pP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3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2" w:type="dxa"/>
            <w:textDirection w:val="lrTb"/>
            <w:noWrap w:val="false"/>
          </w:tcPr>
          <w:p>
            <w:pP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dxa"/>
            <w:textDirection w:val="lrTb"/>
            <w:noWrap w:val="false"/>
          </w:tcPr>
          <w:p>
            <w:pP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9" w:type="dxa"/>
            <w:textDirection w:val="lrTb"/>
            <w:noWrap w:val="false"/>
          </w:tcPr>
          <w:p>
            <w:pP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3" w:type="dxa"/>
            <w:textDirection w:val="lrTb"/>
            <w:noWrap w:val="false"/>
          </w:tcPr>
          <w:p>
            <w:pP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5" w:type="dxa"/>
            <w:textDirection w:val="lrTb"/>
            <w:noWrap w:val="false"/>
          </w:tcPr>
          <w:p>
            <w:pP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4" w:type="dxa"/>
            <w:textDirection w:val="lrTb"/>
            <w:noWrap w:val="false"/>
          </w:tcPr>
          <w:p>
            <w:pP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bl>
    <w:p>
      <w:pPr>
        <w:spacing w:before="240" w:after="24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响应人应对照采购文件要求，所提供的服务与采购文件的规定有偏离的，应在此表中申明与采购要求的偏差和例外。未在上表中说明的，如在响应文件其他内容中已有文字说明的，则以已有文字说明为准，否则，将被认为完全响应采购文件的规定。</w:t>
      </w:r>
      <w:r/>
    </w:p>
    <w:p>
      <w:pPr>
        <w:spacing w:before="240" w:after="24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供应商：（单位盖章）</w:t>
      </w:r>
      <w:r/>
    </w:p>
    <w:p>
      <w:pPr>
        <w:spacing w:before="240" w:after="24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法定代表人或代理人：（签字或盖章）</w:t>
      </w:r>
      <w:r/>
    </w:p>
    <w:p>
      <w:pPr>
        <w:spacing w:before="240" w:after="24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商务条款偏离表</w:t>
      </w:r>
      <w:r/>
    </w:p>
    <w:p>
      <w:pPr>
        <w:spacing w:line="38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单位名称（盖章）：  </w:t>
      </w:r>
      <w:r/>
    </w:p>
    <w:tbl>
      <w:tblPr>
        <w:tblStyle w:val="9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2"/>
        <w:gridCol w:w="2780"/>
        <w:gridCol w:w="2065"/>
        <w:gridCol w:w="1755"/>
        <w:gridCol w:w="2066"/>
      </w:tblGrid>
      <w:tr>
        <w:trPr>
          <w:trHeight w:val="44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80"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采购要求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65"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备注</w:t>
            </w:r>
            <w:r/>
          </w:p>
        </w:tc>
      </w:tr>
      <w:tr>
        <w:trPr>
          <w:trHeight w:val="3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服务期限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5"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6"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3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服务地点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5"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6"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5"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6"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3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5"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6"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3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5"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6"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4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其他商务要求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5"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6"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bl>
    <w:p>
      <w:pPr>
        <w:spacing w:before="240" w:after="24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响应人的响应文件（除服务要求部分）与采购文件规定的有偏离的，应在此表中说明。未在上表中说明的，如在响应文件其他内容中已有文字说明的，则以已有文字说明为准，否则，将被认为完全响应采购文件的规定。</w:t>
      </w:r>
      <w:r/>
    </w:p>
    <w:p>
      <w:pPr>
        <w:spacing w:before="240" w:after="24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spacing w:before="240" w:after="24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供应商：（单位盖章）</w:t>
      </w:r>
      <w:r/>
    </w:p>
    <w:p>
      <w:pPr>
        <w:spacing w:before="240" w:after="24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法定代表人或代理人：（签字或盖章）</w:t>
      </w:r>
      <w:r/>
    </w:p>
    <w:p>
      <w:pPr>
        <w:spacing w:before="240" w:after="24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第四章 采购需求</w:t>
      </w:r>
      <w:r/>
    </w:p>
    <w:p>
      <w:pPr>
        <w:ind w:firstLine="480"/>
        <w:spacing w:line="360" w:lineRule="auto"/>
        <w:rPr>
          <w:rFonts w:hint="eastAsia" w:ascii="宋体" w:hAnsi="宋体" w:eastAsia="宋体" w:cs="宋体"/>
          <w:color w:val="auto"/>
          <w:sz w:val="24"/>
          <w:szCs w:val="24"/>
          <w:highlight w:val="none"/>
        </w:rPr>
      </w:pPr>
      <w:r/>
      <w:bookmarkStart w:id="9" w:name="_Toc13642116"/>
      <w:r>
        <w:rPr>
          <w:rFonts w:hint="eastAsia" w:ascii="宋体" w:hAnsi="宋体" w:eastAsia="宋体" w:cs="宋体"/>
          <w:bCs/>
          <w:color w:val="auto"/>
          <w:sz w:val="24"/>
          <w:szCs w:val="24"/>
          <w:highlight w:val="none"/>
        </w:rPr>
        <w:t xml:space="preserve">苏州正杰招投标咨询服务有限公司受苏州市吴江区自然资源和规划局的委托，就其所需的</w:t>
      </w:r>
      <w:r>
        <w:rPr>
          <w:rFonts w:hint="eastAsia" w:ascii="宋体" w:hAnsi="宋体" w:eastAsia="宋体" w:cs="宋体"/>
          <w:color w:val="auto"/>
          <w:sz w:val="24"/>
          <w:szCs w:val="24"/>
          <w:highlight w:val="none"/>
        </w:rPr>
        <w:t xml:space="preserve">2026年基础地理信息数据更新项目</w:t>
      </w:r>
      <w:r>
        <w:rPr>
          <w:rFonts w:hint="eastAsia" w:ascii="宋体" w:hAnsi="宋体" w:eastAsia="宋体" w:cs="宋体"/>
          <w:bCs/>
          <w:color w:val="auto"/>
          <w:sz w:val="24"/>
          <w:szCs w:val="24"/>
          <w:highlight w:val="none"/>
        </w:rPr>
        <w:t xml:space="preserve">以竞争性磋商方式组织政府采购，欢迎符合条件的供应商参加</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一、采购编号：</w:t>
      </w:r>
      <w:r>
        <w:rPr>
          <w:rFonts w:hint="eastAsia" w:ascii="宋体" w:hAnsi="宋体" w:eastAsia="宋体" w:cs="宋体"/>
          <w:b/>
          <w:bCs/>
          <w:color w:val="auto"/>
          <w:sz w:val="24"/>
          <w:szCs w:val="24"/>
          <w:highlight w:val="none"/>
          <w:lang w:eastAsia="zh-CN"/>
        </w:rPr>
        <w:t xml:space="preserve">JSZC-320509-SZZJ-C2026-0021</w:t>
      </w:r>
      <w:r>
        <w:rPr>
          <w:rFonts w:hint="eastAsia" w:ascii="宋体" w:hAnsi="宋体" w:eastAsia="宋体" w:cs="宋体"/>
          <w:b/>
          <w:bCs/>
          <w:color w:val="auto"/>
          <w:sz w:val="24"/>
          <w:szCs w:val="24"/>
          <w:highlight w:val="none"/>
        </w:rPr>
        <w:t xml:space="preserve">号。</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二、采购需求：</w:t>
      </w:r>
      <w:bookmarkEnd w:id="9"/>
      <w:r/>
      <w:r/>
    </w:p>
    <w:p>
      <w:pPr>
        <w:ind w:firstLine="482"/>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（一）项目概况</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根据《中华人民共和国测绘法》、《基础测绘条例》、《江苏省测绘地理信</w:t>
      </w:r>
      <w:r>
        <w:rPr>
          <w:rFonts w:hint="eastAsia" w:ascii="宋体" w:hAnsi="宋体" w:eastAsia="宋体" w:cs="宋体"/>
          <w:color w:val="auto"/>
          <w:sz w:val="24"/>
          <w:szCs w:val="24"/>
          <w:highlight w:val="none"/>
        </w:rPr>
        <w:t xml:space="preserve">息条例》、《江苏省“十五五”基础测绘规划》（征求意见稿）、《2026年江苏省实景三维数据省市县协同更新实施方案》（征求意见稿）（以下简称《协同方案》）、《长三角示范区基础地理信息数据协同保障任务》、苏州市及吴江区数字化改革总体方案等法律法规及相关文件要求，为进一步增强吴江区实景三维模型、大比例尺地形图、基础地理实体、遥感影像的现势性，推动实景三维吴江建设，助力长三角示范区一体化建设，更好服务吴江生态文明建设和经济社会发展，苏州市吴江区自然资源和规划局拟在已有基础地理信息数据库基础上进行数据更新、提升和扩展。</w:t>
      </w:r>
      <w:r/>
    </w:p>
    <w:p>
      <w:pPr>
        <w:numPr>
          <w:ilvl w:val="0"/>
          <w:numId w:val="3"/>
        </w:numPr>
        <w:ind w:firstLine="482"/>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建设目标</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按照加快推进实景三维江苏省市县协同建设，实现“只测一次、</w:t>
      </w:r>
      <w:r>
        <w:rPr>
          <w:rFonts w:hint="eastAsia" w:ascii="宋体" w:hAnsi="宋体" w:eastAsia="宋体" w:cs="宋体"/>
          <w:color w:val="auto"/>
          <w:sz w:val="24"/>
          <w:szCs w:val="24"/>
          <w:highlight w:val="none"/>
        </w:rPr>
        <w:t xml:space="preserve">一测复用”的一体化集约式发展格局的要求，开展倾斜摄影三维模型制作与更新、地理场景模型融合治理、城市大比例尺三维测图与更新、基础地理实体更新、卫星遥感影像获取与处理、数据融合与建库处理等一体化作业手段，实现倾斜三维模型、大比例尺地形图、基础地理实体等的更新，增强基础地理信息数据的现势性，促进资源、生态现状信息与管理信息有机融合，建立时序化实景三维数据管理与服务能力，为自然资源管理、生态文明建设提供统一的时空数据基础底板，为履行“两统一”职责提供高效数据要素支撑，推进自然资源、国土空间治理体系和治理能力现代化。</w:t>
      </w:r>
      <w:r/>
    </w:p>
    <w:p>
      <w:pPr>
        <w:pStyle w:val="913"/>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（三）建设内容</w:t>
      </w:r>
      <w:r/>
    </w:p>
    <w:p>
      <w:pPr>
        <w:pStyle w:val="913"/>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按照国家、省、市关于实景三维城市建设的各项政策和技术要求，结合《实景三维中国建设技术大纲（2024版）》，立足吴江基础测绘数据基础和实景三维吴江建设，充分考虑实景三维吴江成果落地应用推广目标，进一步创新实景三维吴江建设实施技术路径，编制《实景三维吴江建设项目技术设计书》，明确建设目标、建设任务、技术流程等内容，指导吴江区实景三维高质量建设与应用。</w:t>
      </w:r>
      <w:r/>
    </w:p>
    <w:p>
      <w:pPr>
        <w:pStyle w:val="913"/>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4"/>
          <w:highlight w:val="none"/>
        </w:rPr>
        <w:t xml:space="preserve">实景三维地理场景建设</w:t>
      </w:r>
      <w:r/>
    </w:p>
    <w:p>
      <w:pPr>
        <w:pStyle w:val="913"/>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（1）实景三维模型建设</w:t>
      </w:r>
      <w:r/>
    </w:p>
    <w:p>
      <w:pPr>
        <w:pStyle w:val="1088"/>
        <w:numPr>
          <w:ilvl w:val="12"/>
          <w:numId w:val="0"/>
        </w:numPr>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参考《实景三维江苏建设实施方案（2023-2025）》确定的工作界范围，结合我区实际建设范围、更新变化情况及应用需求，采集影像分辨率优于0.03米（且不低于2025年已建成区域的分辨率要求）的倾斜摄影影像，开展实景三维模型数据更新建设，面积不少于70平方千米（见图1，具体范围线以成交后采购方提供的矢量范围为准）。</w:t>
      </w:r>
      <w:r/>
    </w:p>
    <w:p>
      <w:pPr>
        <w:pStyle w:val="1089"/>
        <w:jc w:val="center"/>
        <w:spacing w:before="0" w:after="0"/>
        <w:rPr>
          <w:rFonts w:hint="eastAsia" w:ascii="宋体" w:hAnsi="宋体" w:eastAsia="宋体" w:cs="宋体"/>
          <w:b/>
          <w:bCs/>
          <w:color w:val="auto"/>
          <w:szCs w:val="24"/>
          <w:highlight w:val="none"/>
        </w:rPr>
      </w:pPr>
      <w:r>
        <w:rPr>
          <w:rFonts w:ascii="宋体" w:hAnsi="宋体" w:eastAsia="宋体" w:cs="宋体"/>
          <w:color w:val="auto"/>
          <w:szCs w:val="24"/>
          <w:highlight w:val="none"/>
        </w:rPr>
        <mc:AlternateContent>
          <mc:Choice Requires="wpg">
            <w:drawing>
              <wp:inline xmlns:wp="http://schemas.openxmlformats.org/drawingml/2006/wordprocessingDrawing" distT="0" distB="0" distL="0" distR="0">
                <wp:extent cx="4658360" cy="4685030"/>
                <wp:effectExtent l="0" t="0" r="8890" b="1270"/>
                <wp:docPr id="4"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IMG_256"/>
                        <pic:cNvPicPr>
                          <a:picLocks noChangeAspect="1"/>
                        </pic:cNvPicPr>
                        <pic:nvPr/>
                      </pic:nvPicPr>
                      <pic:blipFill>
                        <a:blip r:embed="rId16"/>
                        <a:stretch/>
                      </pic:blipFill>
                      <pic:spPr bwMode="auto">
                        <a:xfrm>
                          <a:off x="0" y="0"/>
                          <a:ext cx="4658360" cy="468503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66.8pt;height:368.9pt;mso-wrap-distance-left:0.0pt;mso-wrap-distance-top:0.0pt;mso-wrap-distance-right:0.0pt;mso-wrap-distance-bottom:0.0pt;" stroked="f" strokeweight="0.75pt">
                <v:path textboxrect="0,0,0,0"/>
                <v:imagedata r:id="rId16" o:title=""/>
              </v:shape>
            </w:pict>
          </mc:Fallback>
        </mc:AlternateContent>
      </w:r>
      <w:r/>
    </w:p>
    <w:p>
      <w:pPr>
        <w:pStyle w:val="1089"/>
        <w:ind w:firstLine="482"/>
        <w:jc w:val="center"/>
        <w:spacing w:before="0" w:after="0"/>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图1 实景三维吴江建设范围（预估）</w:t>
      </w:r>
      <w:r/>
    </w:p>
    <w:p>
      <w:pPr>
        <w:pStyle w:val="913"/>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（2）单体化三维模型构建</w:t>
      </w:r>
      <w:r/>
    </w:p>
    <w:p>
      <w:pPr>
        <w:pStyle w:val="1088"/>
        <w:ind w:firstLine="480"/>
        <w:spacing w:line="360" w:lineRule="auto"/>
        <w:tabs>
          <w:tab w:val="left" w:pos="0" w:leader="none"/>
        </w:tabs>
        <w:rPr>
          <w:rFonts w:hint="eastAsia" w:ascii="宋体" w:hAnsi="宋体" w:eastAsia="宋体" w:cs="宋体"/>
          <w:color w:val="auto"/>
          <w:highlight w:val="none"/>
        </w:rPr>
      </w:pPr>
      <w:r>
        <w:rPr>
          <w:rFonts w:hint="eastAsia" w:ascii="宋体" w:hAnsi="宋体" w:eastAsia="宋体" w:cs="宋体"/>
          <w:bCs/>
          <w:color w:val="auto"/>
          <w:highlight w:val="none"/>
        </w:rPr>
        <w:t xml:space="preserve">针对建成区域范围内重点地标建筑、大型构筑物、立交桥梁、地下空间等，</w:t>
      </w:r>
      <w:r>
        <w:rPr>
          <w:rFonts w:hint="eastAsia" w:ascii="宋体" w:hAnsi="宋体" w:eastAsia="宋体" w:cs="宋体"/>
          <w:color w:val="auto"/>
          <w:highlight w:val="none"/>
        </w:rPr>
        <w:t xml:space="preserve">基于倾斜摄影、点云数据等，通过重建单体化方式制作具备精细纹理和外部结构的三维模型单体（LOD3级模型），挂接属性并进行语义化处理，构建三维图元基础地理实体并与地理场景进行融合处理，形成融合的地理场景成果。</w:t>
      </w:r>
      <w:r>
        <w:rPr>
          <w:rFonts w:hint="eastAsia" w:ascii="宋体" w:hAnsi="宋体" w:eastAsia="宋体" w:cs="宋体"/>
          <w:bCs/>
          <w:color w:val="auto"/>
          <w:highlight w:val="none"/>
        </w:rPr>
        <w:t xml:space="preserve">（约1平方千米，具体以成交后采购方提供的矢量范围为准）。</w:t>
      </w:r>
      <w:r/>
    </w:p>
    <w:p>
      <w:pPr>
        <w:pStyle w:val="913"/>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（3）地理场景融合及轻量化处理</w:t>
      </w:r>
      <w:r/>
    </w:p>
    <w:p>
      <w:pPr>
        <w:pStyle w:val="913"/>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融合吴江全区已有DEM、DSM、DOM，及存量0.05m分辨率、0.03m分辨率、0.015m分辨率的多尺度三维模型数据，开展轻量化处理，形成满足吴江区实景三维地理场景在线服务所需的数据成果；依托已建成的吴江三维平台，发布融合处理后的实景三维数据，更新三维地理场景，完善实景三维数据库。</w:t>
      </w:r>
      <w:r/>
    </w:p>
    <w:p>
      <w:pPr>
        <w:pStyle w:val="913"/>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4"/>
          <w:highlight w:val="none"/>
        </w:rPr>
        <w:t xml:space="preserve">地形图修补测</w:t>
      </w:r>
      <w:r/>
    </w:p>
    <w:p>
      <w:pPr>
        <w:pStyle w:val="913"/>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（1）针对吴江区全域的变化范围开展地形图修补测，面积不少于80平方千米（具体以生产采集过程中变化检查结果为准），比例尺与所在底图保持一致，更新数据需按照《江苏省 1：500 1：1000 1：2000 基础地理信息地形要素数据规范》实施入库，完成年度更新任务。</w:t>
      </w:r>
      <w:r/>
    </w:p>
    <w:p>
      <w:pPr>
        <w:pStyle w:val="913"/>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（2）长三角示范区对接及数据转换技术保障，将更新后的吴江区基础地理信息数据库，转换到《长三角示范区基础地理信息数据标准》，协助采购方开展数据的汇交保障工作。</w:t>
      </w:r>
      <w:r/>
    </w:p>
    <w:p>
      <w:pPr>
        <w:pStyle w:val="913"/>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（3）基础地理信息数据库管理系统功能维护和技术支持。</w:t>
      </w:r>
      <w:r/>
    </w:p>
    <w:p>
      <w:pPr>
        <w:pStyle w:val="1088"/>
        <w:ind w:firstLine="48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3、基础地理实体建设</w:t>
      </w:r>
      <w:r/>
    </w:p>
    <w:p>
      <w:pPr>
        <w:pStyle w:val="1088"/>
        <w:ind w:firstLine="480"/>
        <w:spacing w:line="360" w:lineRule="auto"/>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更新划定的地形变化区域范围内的基础地理实体二维矢量图元，面积不少于80平方千米，并制作对应的LOD1.3级白模，挂接属性并进行语义化处理，构建基础地理实体成果；对接省市协同更新下发的工作界内变化区域，完成工作界内核心实体不低于两轮的动态更新，同步更新对应的地形图。</w:t>
      </w:r>
      <w:r/>
    </w:p>
    <w:p>
      <w:pPr>
        <w:pStyle w:val="1088"/>
        <w:ind w:firstLine="48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4、卫星遥感影像获取与处理</w:t>
      </w:r>
      <w:r/>
    </w:p>
    <w:p>
      <w:pPr>
        <w:pStyle w:val="1088"/>
        <w:ind w:firstLine="480"/>
        <w:spacing w:line="360" w:lineRule="auto"/>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（1）在《协同方案》基础上，获取覆盖吴江全域的0.5米分辨率卫星影像数据4期、0.3米分辨率卫星影像数据2期，同步制作正射影像图。</w:t>
      </w:r>
      <w:r/>
    </w:p>
    <w:p>
      <w:pPr>
        <w:pStyle w:val="1088"/>
        <w:ind w:firstLine="480"/>
        <w:spacing w:line="360" w:lineRule="auto"/>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（2）开展地表变化范围图斑提取、按需进行实地核实，建立全区地表动态变化范围数据库与遥感影像原始数据库。</w:t>
      </w:r>
      <w:r/>
    </w:p>
    <w:p>
      <w:pPr>
        <w:pStyle w:val="1088"/>
        <w:ind w:firstLine="480"/>
        <w:spacing w:line="360" w:lineRule="auto"/>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（3）提供卫星遥感影像数据自主下载服务，具备动态数据裁剪、分辨率调整、添加可见/不可见水印、安全控制集成及格式转换等功能。</w:t>
      </w:r>
      <w:r/>
    </w:p>
    <w:p>
      <w:pPr>
        <w:pStyle w:val="1088"/>
        <w:ind w:firstLine="482"/>
        <w:spacing w:line="360" w:lineRule="auto"/>
        <w:tabs>
          <w:tab w:val="left" w:pos="0"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（四）技术要求</w:t>
      </w:r>
      <w:r/>
    </w:p>
    <w:p>
      <w:pPr>
        <w:ind w:firstLine="482"/>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1、时空基准</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（1）坐标系统：2000国家大地坐标系（CGCS2000）。</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（2）高程基准：1985国家高程基准。</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（3）投影方式：采用3度分带的高斯-克吕格投影，中央子午线120度。</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（4）时间基准：公元纪年和北京时间。</w:t>
      </w:r>
      <w:r/>
    </w:p>
    <w:p>
      <w:pPr>
        <w:ind w:firstLine="482"/>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2、主要技术依据</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（1）《实景三维中国建设技术大纲》；</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（2）《新型基础测绘与实景三维中国建设技术文件》系列文件；</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（3）《长三角一体化示范区基础地理信息数据标准规范》系列要求（上海市规划和自然资源局、江苏省自然资源厅、浙江省自然资源厅-2022）；</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（4）《江苏省基础地理实体分类、粒度及精度基本要求》；</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（5）《江苏省基础地理实体数据库规范》；</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（6）《基础地理信息数据库基本规定》；</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（7）《基础地理信息数字产品元数据》；</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（8）《实景三维地理信息元数据规范》；</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（9）《1∶500 1∶1000 1∶2000地形图航空摄影内业规范》；</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（10）《1∶500 1∶1000 1∶2000地形图航空摄影测量外业规范》；</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（11）《国家基本比例尺地形图更新规范》；</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（12）《1∶500 1∶1000 1∶2000 外业数字测图规程》；</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（13）《1∶500 1∶1000 1∶2000 地形图航空摄影测量数字化测图规范》；</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（14）《数字测绘成果质量要求》；</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（15）《数字测绘成果质量检查与验收》；</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（16）《江苏省 1∶500 1∶1000 1∶2000 基础地理信息地形要素数据规范》；</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（17）《数字航空摄影测量 控制测量规范》；</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（18）《数字航空摄影测量 测图规范第1部分：1∶500 1∶1000 1∶2000数字高程模型 数字正射影像图 数字线划图》；</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（19）《江苏省“十五五”基础测绘规划》（征求意见稿）</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（20）《2026年江苏省实景三维数据省市县协同更新实施方案》（征求意见稿）。</w:t>
      </w:r>
      <w:r/>
    </w:p>
    <w:p>
      <w:pPr>
        <w:ind w:firstLine="482"/>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3、技术指标</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（1）实景三维模型建设</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位置精度</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类别：三维模型数据成果</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平面中误差（米）：0.3</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高程中误差（米）：0.25</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类别：二维矢量数据成果</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平面中误差（米）：0.3</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高程中误差（米）：-</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注:困难地区（如林区、阴影覆盖隐蔽区等）的中误差可放宽至两倍标准中误差。</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1.2航摄技术要求</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①航摄种类：IMU/DGPS辅助倾斜数码彩色航空摄影。</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②全域航摄影像地面分辨率：等于或优于0.03米（下视）；城市风貌区、文物保护区、其他特色建筑区，重点建筑物绕飞航摄影像地面分辨率：宜等于或优于 0.02 米（下视）。</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③垂直影像重叠度：航向重叠度在高层建筑物密集区域一般应设计为70%～80%，其他地区航向重叠度一般不低于60%，最低不低于53%；旁向重叠度一般应设计为50%～80%，最低不低于30%。</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④倾斜影像重叠度：当满足垂直影像重叠度后，倾斜影像的航向和旁向重叠度可不再重新设计。</w:t>
      </w:r>
      <w:r/>
    </w:p>
    <w:p>
      <w:pPr>
        <w:pStyle w:val="913"/>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⑤旋偏角：一般不大于15°；在像片航向和旁向重叠度满足要求的前提下，最大不超过35°；同一航线连续达到或接近最大旋偏角的像片数不应超过3张；同一摄区出现最大旋偏角的像片数不应大于摄区像片总数的4%。</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⑥测区覆盖：保证测区边缘区域倾斜视角影像的覆盖范围，旁向范围超出摄区边界不少于3条基线；航向超出摄区边界不少于7条基线，覆盖不全须补测。</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⑦影像质量要求：各镜头影像须清晰、反差适中、色彩鲜明、颜色饱和、相同地物的色彩基调基本一致、有较丰富的层次和能辨别与地面分辨率相适应的细小地物影像。</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⑧航摄时间：在规定的航摄期限内，选择对成图影响较小、云雾少、无扬尘（沙）、光照充足、大气透明度好的晴或多云天气进行摄影。若为晴天拍摄，太阳高度角≥40°，阴影倍数≤1.2倍；若为多云天气拍摄，在保证照度的前提下可适当放宽太阳高度角要求。</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⑨补摄与重摄：航摄过程中出现的绝对漏洞、相对漏洞及其它严重缺陷必须及时补摄，补摄航线的长度应超出漏洞外五条基线，应采用同一主距的航摄仪进行补摄，当某段POS数据经分析后无法使用，应对该段航线进行补摄，补摄航线的长度应超出该段航线外五条基线。</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1.3倾斜摄影三维模型成果要求</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①总体要求:模型纹理色调一致、均匀、无镶嵌痕迹，保障建筑物建模效果优良，模型分明，不能有明显变形、不平整、与实际不符情况。</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②需对水系、交通、建筑、独立物、植被、地形等进行修饰，修饰后模型应维持修饰前模型的目录、命名和文件结构，不得新增瓦片文件或在瓦片文件内直接新增不具备细节层次结构的补丁模型。</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水系：水系的同一横断面上的高程不得相差0.2米，对有遮挡处进行人工处理到设计精度要求；水面平整、无破面，放大到实际影像像素大小、以相机拍照视角观察时，不会出现与实际不符的情况。影像接边处无明显接痕，水面纹理可采用正射影像进行纹理映射。</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交通：对有遮挡处进行人工处理达到设计精度要求，道路及其附属设施的平面位置及高程信息满足三维模型整体表达精度，道路及其附属设施线状模型结构与实际情况一致，不能有明显不平整、变形等情况。放大到实际影像像素大小、以相机拍照视角观察时，不会出现与实际不符情况且影像接边处无明显接痕。</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⑤建筑：所有建筑物几何形状（面、线、角）和纹理完整、正确；放大到实际影像像素大小、以相机拍照视角观察时，房檐、房角线平直。抵近观察时建筑物的轮廓、形状、纹理不变形。</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⑥独立物：对电杆、灯杆、通信杆、烟囱等直径小于 0.5 米或厚度小于 0.5 米的广告牌等独立地物进行检查，对悬空部分直接删除，直径大于 1 米的要做出实际形状。 </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⑦植被：植被模型一般不进行处理，主要是对直径小于 1 米， 并且独立、没有支撑的部分进行删除，行树等趋于自然。</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⑧地形：真实反映地形起伏、地表形态、质地、色彩、纹理等特征。地形模型的平面位置及高程精度满足三维模型表达要求。</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⑨其他：不允许在模型表面出现与现实不符的孔洞，如水面、广告牌、玻璃幕墙等，需进行修复；模型中不允许存在孤立、细碎的悬浮物（如很小的树冠、残缺不全的路标牌等及其他异常错误目标），需进行修复；对提供的影像数据或补摄的影像中涉及如人脸、汽车牌号等隐私信息或保密信息进行模糊化处理。</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1.4三维矢量图元形式建（构）筑物实体数据要求</w:t>
      </w:r>
      <w:r/>
    </w:p>
    <w:p>
      <w:pPr>
        <w:pStyle w:val="913"/>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①必须与给定的坐标保持一致，三维图元矢量结构线的平面、高程与倾斜摄影模型保持一致，准确反映现状。</w:t>
      </w:r>
      <w:r/>
    </w:p>
    <w:p>
      <w:pPr>
        <w:pStyle w:val="913"/>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②数据的精细度须达到CityGML LOD2或以上级别。</w:t>
      </w:r>
      <w:r/>
    </w:p>
    <w:p>
      <w:pPr>
        <w:pStyle w:val="913"/>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③数据的基底、顶部结构、立面轮廓结构与建筑高度须准确，矢量结构线必须可以重建还原带纹理的建（构）筑物单体模型数据。</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④数据可生成3DTiles格式模型瓦片，瓦片属性表应记录图元包括空间身份编码在内的必要属性信息。</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⑤实体的采集和语义化处理符合《新型基础测绘与实景三维中国建设技术文件-6 基础地理实体数据采集生产技术规程》和《新型基础测绘与实景三维中国建设技术文件-7 基础地理实体语义化基本规定》要求。</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1.5重建三维模型单体形式实体数据要求</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①适用于城市地标建筑，包括大型雕塑、文物保护单位、大型文化卫生设施、医院、学校、酒店、政府机关、金融、商贸、文化、科技、展览、娱乐中心等建筑。</w:t>
      </w:r>
      <w:r/>
    </w:p>
    <w:p>
      <w:pPr>
        <w:ind w:firstLine="48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②数据的坐标必须与给定的坐标保持一致，建筑模型平面、高程与倾斜摄影模型保持一致，准</w:t>
      </w:r>
      <w:r>
        <w:rPr>
          <w:rFonts w:hint="eastAsia" w:ascii="宋体" w:hAnsi="宋体" w:eastAsia="宋体" w:cs="宋体"/>
          <w:bCs/>
          <w:color w:val="auto"/>
          <w:sz w:val="24"/>
          <w:szCs w:val="24"/>
          <w:highlight w:val="none"/>
        </w:rPr>
        <w:t xml:space="preserve">确反映现状。</w:t>
      </w:r>
      <w:r/>
    </w:p>
    <w:p>
      <w:pPr>
        <w:pStyle w:val="913"/>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③所有单体模型均采用建筑分栋（幢）独立建模的方式进行模型制作，不得将多个建筑物模型结合在一起。</w:t>
      </w:r>
      <w:r/>
    </w:p>
    <w:p>
      <w:pPr>
        <w:pStyle w:val="913"/>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④模型应真实反映建筑物的外观形态和细节特征，对于建筑附属结构，如屋檐和立面突出物等结构超过0.3米的要做出结构，应避免整个墙面一张贴图导致损失模型立体效果。由于树木遮挡等原因，造成城市重要建筑物遮挡超过20%，需现场采集建筑照片，对建筑遮挡部分的贴图进行修正。</w:t>
      </w:r>
      <w:r/>
    </w:p>
    <w:p>
      <w:pPr>
        <w:pStyle w:val="913"/>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⑤数据的基底、立面轮廓结构与建筑高度须准确，纹理拼接过渡自然，不得有漏缝、交叉点、废点、废线等现象，模型与模型之间不得出现裂缝、漏面和反面。模型的面数、段数、曲面必须进行精简优化，删除模型之间的相交面、底面。保证单体建筑的墙面、房顶面等在一个平面内，除了柱状建筑，一般不出现曲面形状。模型与周边倾斜摄影三维模型在平面、高程上无缝融合。</w:t>
      </w:r>
      <w:r/>
    </w:p>
    <w:p>
      <w:pPr>
        <w:pStyle w:val="913"/>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⑥整体采用倾斜航片纹理进行贴图映射，不得使用通用材质纹理。建筑模型所有物体面都必须附加贴图，不能漏贴或出现贴图错误，选取色彩一致的航片纹理，严禁选取色差太大的纹理进行贴图，保证纹理贴图光效的一致性，不允许出现由于拍摄光线影响而造成的建筑各面的色彩差异，确保影像色调均匀、清晰可辨、无缝拼接、过度自然。</w:t>
      </w:r>
      <w:r/>
    </w:p>
    <w:p>
      <w:pPr>
        <w:pStyle w:val="913"/>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⑦在可保证模型视觉表现和精度的前提下，避免集中使用大量细分面片表达表面形态，单一模型的面数控制在5000面以内。</w:t>
      </w:r>
      <w:r/>
    </w:p>
    <w:p>
      <w:pPr>
        <w:pStyle w:val="913"/>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⑧应提供重建三维模型单体与周边倾斜摄影三维模型融合后文件命名。</w:t>
      </w:r>
      <w:r/>
    </w:p>
    <w:p>
      <w:pPr>
        <w:pStyle w:val="913"/>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⑨对于提取出的OBJ格式单体模型，应保留原始矢量结构线，不作三角化处理。模型几何结构应闭合为封闭实体，不得出现悬点悬线悬面。模型保证贴图宽高符合2的N次幂，控制单幅贴图尺寸不超过2048px*2048px。每个单体模型所引用贴图中，有效纹理像素面积与总纹理像素面积的比值均不低于70%。通过文件名实体空间身份编码，通过模型属性显式声明包括空间身份编码的必要属性信息。模型目录结构和命名应与倾斜摄影三维模型一致。</w:t>
      </w:r>
      <w:r/>
    </w:p>
    <w:p>
      <w:pPr>
        <w:pStyle w:val="913"/>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⑩对于生成的3DTiles格式模型瓦片，每一块瓦片的几何、纹理、材质、属性数据量总和最大不应超过3MB，否则应继续向下化简剖分。瓦片属性表应记录每个单体模型包括空间身份编码在内的必要属性信息。</w:t>
      </w:r>
      <w:r/>
    </w:p>
    <w:p>
      <w:pPr>
        <w:pStyle w:val="913"/>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⑪实体的采集和语义化处理符合《新型基础测绘与实景三维中国建设技术文件-6 基础地理实体数据采集生产技术规程》和《新型基础测绘与实景三维中国建设技术文件-7 基础地理实体语义化基本规定》要求的OSGB模型瓦片集，维持瓦片集目录结构规则，不得新增OSGB文件或变更OSGB。</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（2）地形图修补测</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比例尺</w:t>
      </w:r>
      <w:r/>
    </w:p>
    <w:p>
      <w:pPr>
        <w:pStyle w:val="913"/>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①</w:t>
      </w:r>
      <w:r>
        <w:rPr>
          <w:rFonts w:hint="eastAsia" w:ascii="宋体" w:hAnsi="宋体" w:eastAsia="宋体" w:cs="宋体"/>
          <w:bCs/>
          <w:color w:val="auto"/>
          <w:sz w:val="24"/>
          <w:szCs w:val="24"/>
          <w:highlight w:val="none"/>
        </w:rPr>
        <w:t xml:space="preserve">1:500地形图的更新成果比例尺为1:500。</w:t>
      </w:r>
      <w:r/>
    </w:p>
    <w:p>
      <w:pPr>
        <w:pStyle w:val="913"/>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②</w:t>
      </w:r>
      <w:r>
        <w:rPr>
          <w:rFonts w:hint="eastAsia" w:ascii="宋体" w:hAnsi="宋体" w:eastAsia="宋体" w:cs="宋体"/>
          <w:bCs/>
          <w:color w:val="auto"/>
          <w:sz w:val="24"/>
          <w:szCs w:val="24"/>
          <w:highlight w:val="none"/>
        </w:rPr>
        <w:t xml:space="preserve">1:1000地形图的更新成果比例尺为1:1000。</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数据精度</w:t>
      </w:r>
      <w:r/>
    </w:p>
    <w:p>
      <w:pPr>
        <w:pStyle w:val="91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①平面精度：点间距中误差小于±0.40毫米（图上），点位中误差小于±0.50毫米（图上），建筑物密集区及隐蔽地区在上述规定的基础上放宽0.5倍。</w:t>
      </w:r>
      <w:r/>
    </w:p>
    <w:p>
      <w:pPr>
        <w:pStyle w:val="913"/>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w:t>
      </w:r>
      <w:r>
        <w:rPr>
          <w:rFonts w:hint="eastAsia" w:ascii="宋体" w:hAnsi="宋体" w:eastAsia="宋体" w:cs="宋体"/>
          <w:bCs/>
          <w:color w:val="auto"/>
          <w:sz w:val="24"/>
          <w:szCs w:val="24"/>
          <w:highlight w:val="none"/>
          <w:lang w:val="zh-CN"/>
        </w:rPr>
        <w:t xml:space="preserve">基本等高</w:t>
      </w:r>
      <w:r>
        <w:rPr>
          <w:rFonts w:hint="eastAsia" w:ascii="宋体" w:hAnsi="宋体" w:eastAsia="宋体" w:cs="宋体"/>
          <w:bCs/>
          <w:color w:val="auto"/>
          <w:sz w:val="24"/>
          <w:szCs w:val="24"/>
          <w:highlight w:val="none"/>
        </w:rPr>
        <w:t xml:space="preserve">距：成图比例尺为</w:t>
      </w:r>
      <w:bookmarkStart w:id="10" w:name="_Hlk131751072"/>
      <w:r>
        <w:rPr>
          <w:rFonts w:hint="eastAsia" w:ascii="宋体" w:hAnsi="宋体" w:eastAsia="宋体" w:cs="宋体"/>
          <w:bCs/>
          <w:color w:val="auto"/>
          <w:sz w:val="24"/>
          <w:szCs w:val="24"/>
          <w:highlight w:val="none"/>
        </w:rPr>
        <w:t xml:space="preserve">1:500</w:t>
      </w:r>
      <w:bookmarkEnd w:id="10"/>
      <w:r>
        <w:rPr>
          <w:rFonts w:hint="eastAsia" w:ascii="宋体" w:hAnsi="宋体" w:eastAsia="宋体" w:cs="宋体"/>
          <w:bCs/>
          <w:color w:val="auto"/>
          <w:sz w:val="24"/>
          <w:szCs w:val="24"/>
          <w:highlight w:val="none"/>
        </w:rPr>
        <w:t xml:space="preserve">和1:1000时，平地的等高距分别为0.5米和1.0米。</w:t>
      </w:r>
      <w:r/>
    </w:p>
    <w:p>
      <w:pPr>
        <w:pStyle w:val="913"/>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③高程精度：1:500、1:1000比例尺的高程注记点相对于邻近高程控制点的高程中误差均不超过±0.15m。隐蔽等施测困难地区可放宽0.5倍。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成果要求</w:t>
      </w:r>
      <w:r/>
    </w:p>
    <w:p>
      <w:pPr>
        <w:pStyle w:val="913"/>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①完整性：要素分层、分类与代码等符合要求，无遗漏、多余或重复；属性项名称、类型、长度、顺序符合要求，各属性值正确无误。</w:t>
      </w:r>
      <w:r/>
    </w:p>
    <w:p>
      <w:pPr>
        <w:pStyle w:val="913"/>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②逻辑一致性：数据结构及存储格式符合要求；要素点、线、面等表示方式及关系正确；要素归类与归层正确；要素位置关系没有逻辑冲突，综合取舍合理。</w:t>
      </w:r>
      <w:r/>
    </w:p>
    <w:p>
      <w:pPr>
        <w:pStyle w:val="913"/>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③表征质量：要素几何类型表达正确；有方向性的地物符号方向正确；要素图形表达正确。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（3）基础地理实体建</w:t>
      </w:r>
      <w:r>
        <w:rPr>
          <w:rFonts w:hint="eastAsia" w:ascii="宋体" w:hAnsi="宋体" w:eastAsia="宋体" w:cs="宋体"/>
          <w:color w:val="auto"/>
          <w:sz w:val="24"/>
          <w:szCs w:val="24"/>
          <w:highlight w:val="none"/>
        </w:rPr>
        <w:t xml:space="preserve">设</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3.1数据精度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地理实体二维矢量图元的平面精度与地形图平面精度一致。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二维矢量图元基础地理实体的成果要求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①</w:t>
      </w:r>
      <w:r>
        <w:rPr>
          <w:rFonts w:hint="eastAsia" w:ascii="宋体" w:hAnsi="宋体" w:eastAsia="宋体" w:cs="宋体"/>
          <w:color w:val="auto"/>
          <w:sz w:val="24"/>
          <w:szCs w:val="24"/>
          <w:highlight w:val="none"/>
        </w:rPr>
        <w:t xml:space="preserve">源数据现势性及地理精度满足项目需求。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②</w:t>
      </w:r>
      <w:r>
        <w:rPr>
          <w:rFonts w:hint="eastAsia" w:ascii="宋体" w:hAnsi="宋体" w:eastAsia="宋体" w:cs="宋体"/>
          <w:color w:val="auto"/>
          <w:sz w:val="24"/>
          <w:szCs w:val="24"/>
          <w:highlight w:val="none"/>
        </w:rPr>
        <w:t xml:space="preserve">提取的基础地理信息要素映射正确。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③</w:t>
      </w:r>
      <w:r>
        <w:rPr>
          <w:rFonts w:hint="eastAsia" w:ascii="宋体" w:hAnsi="宋体" w:eastAsia="宋体" w:cs="宋体"/>
          <w:color w:val="auto"/>
          <w:sz w:val="24"/>
          <w:szCs w:val="24"/>
          <w:highlight w:val="none"/>
        </w:rPr>
        <w:t xml:space="preserve">点、线、面的表达形式正确。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④</w:t>
      </w:r>
      <w:r>
        <w:rPr>
          <w:rFonts w:hint="eastAsia" w:ascii="宋体" w:hAnsi="宋体" w:eastAsia="宋体" w:cs="宋体"/>
          <w:color w:val="auto"/>
          <w:sz w:val="24"/>
          <w:szCs w:val="24"/>
          <w:highlight w:val="none"/>
        </w:rPr>
        <w:t xml:space="preserve">拓扑关系和属性信息正确。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⑤</w:t>
      </w:r>
      <w:r>
        <w:rPr>
          <w:rFonts w:hint="eastAsia" w:ascii="宋体" w:hAnsi="宋体" w:eastAsia="宋体" w:cs="宋体"/>
          <w:color w:val="auto"/>
          <w:sz w:val="24"/>
          <w:szCs w:val="24"/>
          <w:highlight w:val="none"/>
        </w:rPr>
        <w:t xml:space="preserve">元数据符合规定。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LOD1.3级模型的成果要求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数据的基底、立面轮廓结构与建筑高度表征建筑物的主体形态。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（4）卫星遥感影像获取与处理</w:t>
      </w:r>
      <w:r/>
    </w:p>
    <w:p>
      <w:pPr>
        <w:pStyle w:val="1088"/>
        <w:ind w:firstLine="480"/>
        <w:spacing w:line="360" w:lineRule="auto"/>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4.1 影像分辨率要求</w:t>
      </w:r>
      <w:r/>
    </w:p>
    <w:p>
      <w:pPr>
        <w:pStyle w:val="1088"/>
        <w:ind w:firstLine="480"/>
        <w:spacing w:line="360" w:lineRule="auto"/>
        <w:tabs>
          <w:tab w:val="left" w:pos="0" w:leader="none"/>
        </w:tabs>
        <w:rPr>
          <w:rFonts w:hint="eastAsia" w:ascii="宋体" w:hAnsi="宋体" w:eastAsia="宋体" w:cs="宋体"/>
          <w:color w:val="auto"/>
          <w:highlight w:val="none"/>
        </w:rPr>
      </w:pPr>
      <w:r>
        <w:rPr>
          <w:rFonts w:hint="eastAsia" w:ascii="宋体" w:hAnsi="宋体" w:eastAsia="宋体" w:cs="宋体"/>
          <w:bCs/>
          <w:color w:val="auto"/>
          <w:highlight w:val="none"/>
        </w:rPr>
        <w:t xml:space="preserve">①0.3米分辨率卫星影像：</w:t>
      </w:r>
      <w:r>
        <w:rPr>
          <w:rFonts w:hint="eastAsia" w:ascii="宋体" w:hAnsi="宋体" w:eastAsia="宋体" w:cs="宋体"/>
          <w:color w:val="auto"/>
          <w:highlight w:val="none"/>
        </w:rPr>
        <w:t xml:space="preserve">卫星影像数据星下点原始分辨率全色不低于0.3米（不接受超采样生成的数据产品），红、绿、蓝波段分辨率不低于1.2米。</w:t>
      </w:r>
      <w:r/>
    </w:p>
    <w:p>
      <w:pPr>
        <w:pStyle w:val="1088"/>
        <w:ind w:firstLine="480"/>
        <w:spacing w:line="360" w:lineRule="auto"/>
        <w:tabs>
          <w:tab w:val="left" w:pos="0" w:leader="none"/>
        </w:tabs>
        <w:rPr>
          <w:rFonts w:hint="eastAsia" w:ascii="宋体" w:hAnsi="宋体" w:eastAsia="宋体" w:cs="宋体"/>
          <w:bCs/>
          <w:color w:val="auto"/>
          <w:highlight w:val="none"/>
        </w:rPr>
      </w:pPr>
      <w:r>
        <w:rPr>
          <w:rFonts w:hint="eastAsia" w:ascii="宋体" w:hAnsi="宋体" w:eastAsia="宋体" w:cs="宋体"/>
          <w:bCs/>
          <w:color w:val="auto"/>
          <w:highlight w:val="none"/>
        </w:rPr>
        <w:t xml:space="preserve">②0.5米分辨率卫星影像：</w:t>
      </w:r>
      <w:r>
        <w:rPr>
          <w:rFonts w:hint="eastAsia" w:ascii="宋体" w:hAnsi="宋体" w:eastAsia="宋体" w:cs="宋体"/>
          <w:color w:val="auto"/>
          <w:highlight w:val="none"/>
        </w:rPr>
        <w:t xml:space="preserve">卫星影像数据星下点原始分辨率全色不低于0.5米，红、绿、蓝波段分辨率不低于2.0米。</w:t>
      </w:r>
      <w:r/>
    </w:p>
    <w:p>
      <w:pPr>
        <w:pStyle w:val="1088"/>
        <w:ind w:firstLine="480"/>
        <w:spacing w:line="360" w:lineRule="auto"/>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4.2 数据级别要求</w:t>
      </w:r>
      <w:r/>
    </w:p>
    <w:p>
      <w:pPr>
        <w:pStyle w:val="1088"/>
        <w:ind w:firstLine="480"/>
        <w:spacing w:line="360" w:lineRule="auto"/>
        <w:tabs>
          <w:tab w:val="left" w:pos="0" w:leader="none"/>
        </w:tabs>
        <w:rPr>
          <w:rFonts w:hint="eastAsia" w:ascii="宋体" w:hAnsi="宋体" w:eastAsia="宋体" w:cs="宋体"/>
          <w:b/>
          <w:bCs/>
          <w:color w:val="auto"/>
          <w:highlight w:val="none"/>
        </w:rPr>
      </w:pPr>
      <w:r>
        <w:rPr>
          <w:rFonts w:hint="eastAsia" w:ascii="宋体" w:hAnsi="宋体" w:eastAsia="宋体" w:cs="宋体"/>
          <w:color w:val="auto"/>
          <w:highlight w:val="none"/>
        </w:rPr>
        <w:t xml:space="preserve">全色和多光谱影像均应提供对应的星历参数或其它参数文件，可使用严格物理模型或有理函数模型进行后续正射产品的生产。</w:t>
      </w:r>
      <w:r/>
    </w:p>
    <w:p>
      <w:pPr>
        <w:pStyle w:val="1088"/>
        <w:ind w:firstLine="480"/>
        <w:spacing w:line="360" w:lineRule="auto"/>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4.3 数据质量要求</w:t>
      </w:r>
      <w:r/>
    </w:p>
    <w:p>
      <w:pPr>
        <w:pStyle w:val="1088"/>
        <w:ind w:firstLine="480"/>
        <w:spacing w:line="360" w:lineRule="auto"/>
        <w:tabs>
          <w:tab w:val="left" w:pos="0" w:leader="none"/>
        </w:tabs>
        <w:rPr>
          <w:rFonts w:hint="eastAsia" w:ascii="宋体" w:hAnsi="宋体" w:eastAsia="宋体" w:cs="宋体"/>
          <w:color w:val="auto"/>
          <w:highlight w:val="none"/>
        </w:rPr>
      </w:pPr>
      <w:r>
        <w:rPr>
          <w:rFonts w:hint="eastAsia" w:ascii="宋体" w:hAnsi="宋体" w:eastAsia="宋体" w:cs="宋体"/>
          <w:bCs/>
          <w:color w:val="auto"/>
          <w:highlight w:val="none"/>
        </w:rPr>
        <w:t xml:space="preserve">①</w:t>
      </w:r>
      <w:r>
        <w:rPr>
          <w:rFonts w:hint="eastAsia" w:ascii="宋体" w:hAnsi="宋体" w:eastAsia="宋体" w:cs="宋体"/>
          <w:color w:val="auto"/>
          <w:highlight w:val="none"/>
        </w:rPr>
        <w:t xml:space="preserve">每景原始影像的云雪覆盖量小于10%；</w:t>
      </w:r>
      <w:r/>
    </w:p>
    <w:p>
      <w:pPr>
        <w:pStyle w:val="1088"/>
        <w:ind w:firstLine="480"/>
        <w:spacing w:line="360" w:lineRule="auto"/>
        <w:tabs>
          <w:tab w:val="left" w:pos="0" w:leader="none"/>
        </w:tabs>
        <w:rPr>
          <w:rFonts w:hint="eastAsia" w:ascii="宋体" w:hAnsi="宋体" w:eastAsia="宋体" w:cs="宋体"/>
          <w:color w:val="auto"/>
          <w:highlight w:val="none"/>
        </w:rPr>
      </w:pPr>
      <w:r>
        <w:rPr>
          <w:rFonts w:hint="eastAsia" w:ascii="宋体" w:hAnsi="宋体" w:eastAsia="宋体" w:cs="宋体"/>
          <w:bCs/>
          <w:color w:val="auto"/>
          <w:highlight w:val="none"/>
        </w:rPr>
        <w:t xml:space="preserve">②</w:t>
      </w:r>
      <w:r>
        <w:rPr>
          <w:rFonts w:hint="eastAsia" w:ascii="宋体" w:hAnsi="宋体" w:eastAsia="宋体" w:cs="宋体"/>
          <w:color w:val="auto"/>
          <w:highlight w:val="none"/>
        </w:rPr>
        <w:t xml:space="preserve">原始影像两景之间能够无缝拼接，层次丰富，地物清晰，无明显光谱溢出、数据质量不稳定和掉线等各种质量问题；</w:t>
      </w:r>
      <w:r/>
    </w:p>
    <w:p>
      <w:pPr>
        <w:pStyle w:val="1088"/>
        <w:ind w:firstLine="480"/>
        <w:spacing w:line="360" w:lineRule="auto"/>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4.4 正射影像要求</w:t>
      </w:r>
      <w:r/>
    </w:p>
    <w:p>
      <w:pPr>
        <w:pStyle w:val="1088"/>
        <w:ind w:firstLine="480"/>
        <w:spacing w:line="360" w:lineRule="auto"/>
        <w:tabs>
          <w:tab w:val="left" w:pos="0" w:leader="none"/>
        </w:tabs>
        <w:rPr>
          <w:rFonts w:hint="eastAsia" w:ascii="宋体" w:hAnsi="宋体" w:eastAsia="宋体" w:cs="宋体"/>
          <w:color w:val="auto"/>
          <w:highlight w:val="none"/>
        </w:rPr>
      </w:pPr>
      <w:r>
        <w:rPr>
          <w:rFonts w:hint="eastAsia" w:ascii="宋体" w:hAnsi="宋体" w:eastAsia="宋体" w:cs="宋体"/>
          <w:bCs/>
          <w:color w:val="auto"/>
          <w:highlight w:val="none"/>
        </w:rPr>
        <w:t xml:space="preserve">①</w:t>
      </w:r>
      <w:r>
        <w:rPr>
          <w:rFonts w:hint="eastAsia" w:ascii="宋体" w:hAnsi="宋体" w:eastAsia="宋体" w:cs="宋体"/>
          <w:color w:val="auto"/>
          <w:highlight w:val="none"/>
        </w:rPr>
        <w:t xml:space="preserve">满足国家1∶1万正射影像产品精度要求，平面位置中误差不超过5米，景与景之间接边误差不大于2个像元。</w:t>
      </w:r>
      <w:r/>
    </w:p>
    <w:p>
      <w:pPr>
        <w:pStyle w:val="1088"/>
        <w:ind w:firstLine="480"/>
        <w:spacing w:line="360" w:lineRule="auto"/>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②影像成果采用RGB色彩模式，成果像素位为24位，自然真彩色效果或接近于真彩色的组合真彩色效果。</w:t>
      </w:r>
      <w:r/>
    </w:p>
    <w:p>
      <w:pPr>
        <w:pStyle w:val="1088"/>
        <w:ind w:firstLine="480"/>
        <w:spacing w:line="360" w:lineRule="auto"/>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③影像反差适中，色调均匀，纹理清楚，层次丰富，无明显失真，影像直方图基本接近正态分布。</w:t>
      </w:r>
      <w:r/>
    </w:p>
    <w:p>
      <w:pPr>
        <w:pStyle w:val="1088"/>
        <w:ind w:firstLine="480"/>
        <w:spacing w:line="360" w:lineRule="auto"/>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④影像无大面积噪声和条带，对扭曲变形的部分影像进行处理，消除变形。</w:t>
      </w:r>
      <w:r/>
    </w:p>
    <w:p>
      <w:pPr>
        <w:pStyle w:val="1088"/>
        <w:ind w:firstLine="480"/>
        <w:spacing w:line="360" w:lineRule="auto"/>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⑤影像增强后地物细节清晰，建筑物、道路等地物不能出现曝光过度现象。</w:t>
      </w:r>
      <w:r/>
    </w:p>
    <w:p>
      <w:pPr>
        <w:pStyle w:val="1088"/>
        <w:ind w:firstLine="480"/>
        <w:spacing w:line="360" w:lineRule="auto"/>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⑥影像接边处色彩过渡自然，地物合理接边，人工地物完整，无重影和发虚现象。大面积湖泊水域、颜色、纹理过度均匀。镶嵌线两侧和相邻影像色调基本一致。</w:t>
      </w:r>
      <w:r/>
    </w:p>
    <w:p>
      <w:pPr>
        <w:ind w:firstLine="482"/>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4、成果资料清单</w:t>
      </w:r>
      <w:r/>
    </w:p>
    <w:tbl>
      <w:tblPr>
        <w:tblStyle w:val="904"/>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3"/>
        <w:gridCol w:w="1629"/>
        <w:gridCol w:w="4139"/>
        <w:gridCol w:w="2549"/>
      </w:tblGrid>
      <w:tr>
        <w:trPr>
          <w:jc w:val="center"/>
          <w:trHeight w:val="454"/>
          <w:tblHeader/>
        </w:trPr>
        <w:tc>
          <w:tcPr>
            <w:shd w:val="clear" w:color="auto" w:fill="ffffff"/>
            <w:tcW w:w="1263" w:type="dxa"/>
            <w:vAlign w:val="center"/>
            <w:textDirection w:val="lrTb"/>
            <w:noWrap/>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序号</w:t>
            </w:r>
            <w:r/>
          </w:p>
        </w:tc>
        <w:tc>
          <w:tcPr>
            <w:shd w:val="clear" w:color="auto" w:fill="ffffff"/>
            <w:tcW w:w="1629" w:type="dxa"/>
            <w:vAlign w:val="center"/>
            <w:textDirection w:val="lrTb"/>
            <w:noWrap/>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类别</w:t>
            </w:r>
            <w:r/>
          </w:p>
        </w:tc>
        <w:tc>
          <w:tcPr>
            <w:shd w:val="clear" w:color="auto" w:fill="ffffff"/>
            <w:tcW w:w="4139" w:type="dxa"/>
            <w:vAlign w:val="center"/>
            <w:textDirection w:val="lrTb"/>
            <w:noWrap/>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成果名称</w:t>
            </w:r>
            <w:r/>
          </w:p>
        </w:tc>
        <w:tc>
          <w:tcPr>
            <w:shd w:val="clear" w:color="auto" w:fill="ffffff"/>
            <w:tcW w:w="2549" w:type="dxa"/>
            <w:vAlign w:val="center"/>
            <w:textDirection w:val="lrTb"/>
            <w:noWrap/>
          </w:tcPr>
          <w:p>
            <w:pPr>
              <w:jc w:val="center"/>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格式</w:t>
            </w:r>
            <w:r/>
          </w:p>
        </w:tc>
      </w:tr>
      <w:tr>
        <w:trPr>
          <w:jc w:val="center"/>
          <w:trHeight w:val="454"/>
        </w:trPr>
        <w:tc>
          <w:tcPr>
            <w:tcW w:w="1263"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W w:w="1629" w:type="dxa"/>
            <w:vAlign w:val="center"/>
            <w:vMerge w:val="restart"/>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文档资料</w:t>
            </w:r>
            <w:r/>
          </w:p>
        </w:tc>
        <w:tc>
          <w:tcPr>
            <w:tcW w:w="4139" w:type="dxa"/>
            <w:vAlign w:val="center"/>
            <w:textDirection w:val="lrTb"/>
            <w:noWrap/>
          </w:tcPr>
          <w:p>
            <w:pPr>
              <w:pStyle w:val="936"/>
              <w:ind w:lef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技术设计书</w:t>
            </w:r>
            <w:r/>
          </w:p>
        </w:tc>
        <w:tc>
          <w:tcPr>
            <w:tcW w:w="2549"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纸质/DOC和PDF</w:t>
            </w:r>
            <w:r/>
          </w:p>
        </w:tc>
      </w:tr>
      <w:tr>
        <w:trPr>
          <w:jc w:val="center"/>
          <w:trHeight w:val="479"/>
        </w:trPr>
        <w:tc>
          <w:tcPr>
            <w:tcW w:w="1263"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629" w:type="dxa"/>
            <w:vAlign w:val="center"/>
            <w:vMerge w:val="continue"/>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39" w:type="dxa"/>
            <w:vAlign w:val="center"/>
            <w:textDirection w:val="lrTb"/>
            <w:noWrap/>
          </w:tcPr>
          <w:p>
            <w:pPr>
              <w:pStyle w:val="936"/>
              <w:ind w:lef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技术总结</w:t>
            </w:r>
            <w:r/>
          </w:p>
        </w:tc>
        <w:tc>
          <w:tcPr>
            <w:tcW w:w="2549"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纸质/DOC和PDF</w:t>
            </w:r>
            <w:r/>
          </w:p>
        </w:tc>
      </w:tr>
      <w:tr>
        <w:trPr>
          <w:jc w:val="center"/>
          <w:trHeight w:val="454"/>
        </w:trPr>
        <w:tc>
          <w:tcPr>
            <w:tcW w:w="1263"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629" w:type="dxa"/>
            <w:vAlign w:val="center"/>
            <w:vMerge w:val="continue"/>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39" w:type="dxa"/>
            <w:vAlign w:val="center"/>
            <w:textDirection w:val="lrTb"/>
            <w:noWrap/>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仪器检定报告</w:t>
            </w:r>
            <w:r/>
          </w:p>
        </w:tc>
        <w:tc>
          <w:tcPr>
            <w:tcW w:w="2549"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纸质/PDF</w:t>
            </w:r>
            <w:r/>
          </w:p>
        </w:tc>
      </w:tr>
      <w:tr>
        <w:trPr>
          <w:jc w:val="center"/>
          <w:trHeight w:val="454"/>
        </w:trPr>
        <w:tc>
          <w:tcPr>
            <w:tcW w:w="1263"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w:t>
            </w:r>
            <w:r/>
          </w:p>
        </w:tc>
        <w:tc>
          <w:tcPr>
            <w:tcW w:w="1629" w:type="dxa"/>
            <w:vAlign w:val="center"/>
            <w:vMerge w:val="continue"/>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4139" w:type="dxa"/>
            <w:vAlign w:val="center"/>
            <w:textDirection w:val="lrTb"/>
            <w:noWrap/>
          </w:tcPr>
          <w:p>
            <w:pPr>
              <w:pStyle w:val="936"/>
              <w:ind w:lef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测绘成果质量检查报告</w:t>
            </w:r>
            <w:r/>
          </w:p>
        </w:tc>
        <w:tc>
          <w:tcPr>
            <w:tcW w:w="2549"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纸质/PDF</w:t>
            </w:r>
            <w:r/>
          </w:p>
        </w:tc>
      </w:tr>
      <w:tr>
        <w:trPr>
          <w:jc w:val="center"/>
          <w:trHeight w:val="454"/>
        </w:trPr>
        <w:tc>
          <w:tcPr>
            <w:tcW w:w="1263"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629" w:type="dxa"/>
            <w:vAlign w:val="center"/>
            <w:vMerge w:val="continue"/>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39" w:type="dxa"/>
            <w:vAlign w:val="center"/>
            <w:textDirection w:val="lrTb"/>
            <w:noWrap/>
          </w:tcPr>
          <w:p>
            <w:pPr>
              <w:pStyle w:val="936"/>
              <w:ind w:lef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监理检查报告</w:t>
            </w:r>
            <w:r/>
          </w:p>
        </w:tc>
        <w:tc>
          <w:tcPr>
            <w:tcW w:w="2549"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纸质/PDF</w:t>
            </w:r>
            <w:r/>
          </w:p>
        </w:tc>
      </w:tr>
      <w:tr>
        <w:trPr>
          <w:jc w:val="center"/>
          <w:trHeight w:val="454"/>
        </w:trPr>
        <w:tc>
          <w:tcPr>
            <w:tcW w:w="1263"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629" w:type="dxa"/>
            <w:vAlign w:val="center"/>
            <w:vMerge w:val="continue"/>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39" w:type="dxa"/>
            <w:vAlign w:val="center"/>
            <w:textDirection w:val="lrTb"/>
            <w:noWrap/>
          </w:tcPr>
          <w:p>
            <w:pPr>
              <w:pStyle w:val="936"/>
              <w:ind w:lef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测绘成果质量检验报告</w:t>
            </w:r>
            <w:r/>
          </w:p>
        </w:tc>
        <w:tc>
          <w:tcPr>
            <w:tcW w:w="2549"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纸质/PDF</w:t>
            </w:r>
            <w:r/>
          </w:p>
        </w:tc>
      </w:tr>
      <w:tr>
        <w:trPr>
          <w:jc w:val="center"/>
          <w:trHeight w:val="454"/>
        </w:trPr>
        <w:tc>
          <w:tcPr>
            <w:tcW w:w="1263"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629" w:type="dxa"/>
            <w:vAlign w:val="center"/>
            <w:vMerge w:val="restart"/>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实景三维相关成果</w:t>
            </w:r>
            <w:r/>
          </w:p>
        </w:tc>
        <w:tc>
          <w:tcPr>
            <w:tcW w:w="4139" w:type="dxa"/>
            <w:vAlign w:val="center"/>
            <w:textDirection w:val="lrTb"/>
            <w:noWrap/>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外业航摄数据</w:t>
            </w:r>
            <w:r/>
          </w:p>
        </w:tc>
        <w:tc>
          <w:tcPr>
            <w:tcW w:w="2549"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TIF、CSV</w:t>
            </w:r>
            <w:r/>
          </w:p>
        </w:tc>
      </w:tr>
      <w:tr>
        <w:trPr>
          <w:jc w:val="center"/>
          <w:trHeight w:val="454"/>
        </w:trPr>
        <w:tc>
          <w:tcPr>
            <w:tcW w:w="1263"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tcW w:w="1629" w:type="dxa"/>
            <w:vAlign w:val="center"/>
            <w:vMerge w:val="continue"/>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4139" w:type="dxa"/>
            <w:vAlign w:val="center"/>
            <w:textDirection w:val="lrTb"/>
            <w:noWrap/>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像片控制点数据</w:t>
            </w:r>
            <w:r/>
          </w:p>
        </w:tc>
        <w:tc>
          <w:tcPr>
            <w:tcW w:w="2549"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CSV</w:t>
            </w:r>
            <w:r/>
          </w:p>
        </w:tc>
      </w:tr>
      <w:tr>
        <w:trPr>
          <w:jc w:val="center"/>
          <w:trHeight w:val="454"/>
        </w:trPr>
        <w:tc>
          <w:tcPr>
            <w:tcW w:w="1263"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w:t>
            </w:r>
            <w:r/>
          </w:p>
        </w:tc>
        <w:tc>
          <w:tcPr>
            <w:tcW w:w="1629" w:type="dxa"/>
            <w:vAlign w:val="center"/>
            <w:vMerge w:val="continue"/>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4139" w:type="dxa"/>
            <w:vAlign w:val="center"/>
            <w:textDirection w:val="lrTb"/>
            <w:noWrap/>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空三成果数据</w:t>
            </w:r>
            <w:r/>
          </w:p>
        </w:tc>
        <w:tc>
          <w:tcPr>
            <w:tcW w:w="2549"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XML</w:t>
            </w:r>
            <w:r/>
          </w:p>
        </w:tc>
      </w:tr>
      <w:tr>
        <w:trPr>
          <w:jc w:val="center"/>
          <w:trHeight w:val="454"/>
        </w:trPr>
        <w:tc>
          <w:tcPr>
            <w:tcW w:w="1263"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w:t>
            </w:r>
            <w:r/>
          </w:p>
        </w:tc>
        <w:tc>
          <w:tcPr>
            <w:tcW w:w="1629" w:type="dxa"/>
            <w:vAlign w:val="center"/>
            <w:vMerge w:val="continue"/>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4139" w:type="dxa"/>
            <w:vAlign w:val="center"/>
            <w:textDirection w:val="lrTb"/>
            <w:noWrap/>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倾斜摄影三维模型成果</w:t>
            </w:r>
            <w:r/>
          </w:p>
        </w:tc>
        <w:tc>
          <w:tcPr>
            <w:tcW w:w="2549"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OSGB</w:t>
            </w:r>
            <w:r/>
          </w:p>
        </w:tc>
      </w:tr>
      <w:tr>
        <w:trPr>
          <w:jc w:val="center"/>
          <w:trHeight w:val="454"/>
        </w:trPr>
        <w:tc>
          <w:tcPr>
            <w:tcW w:w="1263"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w:t>
            </w:r>
            <w:r/>
          </w:p>
        </w:tc>
        <w:tc>
          <w:tcPr>
            <w:tcW w:w="1629" w:type="dxa"/>
            <w:vAlign w:val="center"/>
            <w:vMerge w:val="continue"/>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4139" w:type="dxa"/>
            <w:vAlign w:val="center"/>
            <w:textDirection w:val="lrTb"/>
            <w:noWrap/>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三维模型单体（LOD3级）成果</w:t>
            </w:r>
            <w:r/>
          </w:p>
        </w:tc>
        <w:tc>
          <w:tcPr>
            <w:tcW w:w="2549"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OBJ、3DTiles</w:t>
            </w:r>
            <w:r/>
          </w:p>
        </w:tc>
      </w:tr>
      <w:tr>
        <w:trPr>
          <w:jc w:val="center"/>
          <w:trHeight w:val="454"/>
        </w:trPr>
        <w:tc>
          <w:tcPr>
            <w:tcW w:w="1263"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12</w:t>
            </w:r>
            <w:r/>
          </w:p>
        </w:tc>
        <w:tc>
          <w:tcPr>
            <w:tcW w:w="1629" w:type="dxa"/>
            <w:vAlign w:val="center"/>
            <w:vMerge w:val="continue"/>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39" w:type="dxa"/>
            <w:vAlign w:val="center"/>
            <w:textDirection w:val="lrTb"/>
            <w:noWrap/>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地理场景融合及轻量化处理成果</w:t>
            </w:r>
            <w:r/>
          </w:p>
        </w:tc>
        <w:tc>
          <w:tcPr>
            <w:tcW w:w="2549"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OSGB和slpk</w:t>
            </w:r>
            <w:r/>
          </w:p>
        </w:tc>
      </w:tr>
      <w:tr>
        <w:trPr>
          <w:jc w:val="center"/>
          <w:trHeight w:val="454"/>
        </w:trPr>
        <w:tc>
          <w:tcPr>
            <w:tcW w:w="1263"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13</w:t>
            </w:r>
            <w:r/>
          </w:p>
        </w:tc>
        <w:tc>
          <w:tcPr>
            <w:tcW w:w="1629" w:type="dxa"/>
            <w:vAlign w:val="center"/>
            <w:vMerge w:val="restart"/>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地形图</w:t>
            </w:r>
            <w:r/>
          </w:p>
          <w:p>
            <w:pPr>
              <w:pStyle w:val="914"/>
              <w:ind w:left="0"/>
              <w:jc w:val="center"/>
              <w:spacing w:line="24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相关成果</w:t>
            </w:r>
            <w:r/>
          </w:p>
        </w:tc>
        <w:tc>
          <w:tcPr>
            <w:tcW w:w="4139" w:type="dxa"/>
            <w:vAlign w:val="center"/>
            <w:textDirection w:val="lrTb"/>
            <w:noWrap/>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地形图变化更新范围</w:t>
            </w:r>
            <w:r/>
          </w:p>
        </w:tc>
        <w:tc>
          <w:tcPr>
            <w:tcW w:w="2549"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SHP</w:t>
            </w:r>
            <w:r/>
          </w:p>
        </w:tc>
      </w:tr>
      <w:tr>
        <w:trPr>
          <w:jc w:val="center"/>
          <w:trHeight w:val="454"/>
        </w:trPr>
        <w:tc>
          <w:tcPr>
            <w:tcW w:w="1263"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w:t>
            </w:r>
            <w:r/>
          </w:p>
        </w:tc>
        <w:tc>
          <w:tcPr>
            <w:tcW w:w="1629" w:type="dxa"/>
            <w:vAlign w:val="center"/>
            <w:vMerge w:val="continue"/>
            <w:textDirection w:val="lrTb"/>
            <w:noWrap/>
          </w:tcPr>
          <w:p>
            <w:pPr>
              <w:pStyle w:val="914"/>
              <w:ind w:left="0"/>
              <w:spacing w:line="24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4139" w:type="dxa"/>
            <w:vAlign w:val="center"/>
            <w:textDirection w:val="lrTb"/>
            <w:noWrap/>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吴江区基础地理信息数据库（江苏省规范）</w:t>
            </w:r>
            <w:r/>
          </w:p>
        </w:tc>
        <w:tc>
          <w:tcPr>
            <w:tcW w:w="2549"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GDB</w:t>
            </w:r>
            <w:r/>
          </w:p>
        </w:tc>
      </w:tr>
      <w:tr>
        <w:trPr>
          <w:jc w:val="center"/>
          <w:trHeight w:val="454"/>
        </w:trPr>
        <w:tc>
          <w:tcPr>
            <w:tcW w:w="1263"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15</w:t>
            </w:r>
            <w:r/>
          </w:p>
        </w:tc>
        <w:tc>
          <w:tcPr>
            <w:tcW w:w="1629" w:type="dxa"/>
            <w:vAlign w:val="center"/>
            <w:vMerge w:val="continue"/>
            <w:textDirection w:val="lrTb"/>
            <w:noWrap/>
          </w:tcPr>
          <w:p>
            <w:pPr>
              <w:pStyle w:val="914"/>
              <w:ind w:left="0"/>
              <w:spacing w:line="24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4139" w:type="dxa"/>
            <w:vAlign w:val="center"/>
            <w:textDirection w:val="lrTb"/>
            <w:noWrap/>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吴江区基础地理信息数据库（示范区标准）</w:t>
            </w:r>
            <w:r/>
          </w:p>
        </w:tc>
        <w:tc>
          <w:tcPr>
            <w:tcW w:w="2549"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GDB</w:t>
            </w:r>
            <w:r/>
          </w:p>
        </w:tc>
      </w:tr>
      <w:tr>
        <w:trPr>
          <w:jc w:val="center"/>
          <w:trHeight w:val="454"/>
        </w:trPr>
        <w:tc>
          <w:tcPr>
            <w:tcW w:w="1263"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16</w:t>
            </w:r>
            <w:r/>
          </w:p>
        </w:tc>
        <w:tc>
          <w:tcPr>
            <w:tcW w:w="1629" w:type="dxa"/>
            <w:vAlign w:val="center"/>
            <w:vMerge w:val="continue"/>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39" w:type="dxa"/>
            <w:vAlign w:val="center"/>
            <w:textDirection w:val="lrTb"/>
            <w:noWrap/>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库管系统功能维护和技术支持</w:t>
            </w:r>
            <w:r/>
          </w:p>
        </w:tc>
        <w:tc>
          <w:tcPr>
            <w:tcW w:w="2549"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w:t>
            </w:r>
            <w:r/>
          </w:p>
        </w:tc>
      </w:tr>
      <w:tr>
        <w:trPr>
          <w:jc w:val="center"/>
          <w:trHeight w:val="454"/>
        </w:trPr>
        <w:tc>
          <w:tcPr>
            <w:tcW w:w="1263"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p>
        </w:tc>
        <w:tc>
          <w:tcPr>
            <w:tcW w:w="1629" w:type="dxa"/>
            <w:vAlign w:val="center"/>
            <w:vMerge w:val="restart"/>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地理实体</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相关成果</w:t>
            </w:r>
            <w:r/>
          </w:p>
        </w:tc>
        <w:tc>
          <w:tcPr>
            <w:tcW w:w="4139" w:type="dxa"/>
            <w:vAlign w:val="center"/>
            <w:textDirection w:val="lrTb"/>
            <w:noWrap/>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二维矢量图元形式基础地理实体更新数据库</w:t>
            </w:r>
            <w:r/>
          </w:p>
        </w:tc>
        <w:tc>
          <w:tcPr>
            <w:tcW w:w="2549"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GDB</w:t>
            </w:r>
            <w:r/>
          </w:p>
        </w:tc>
      </w:tr>
      <w:tr>
        <w:trPr>
          <w:jc w:val="center"/>
          <w:trHeight w:val="454"/>
        </w:trPr>
        <w:tc>
          <w:tcPr>
            <w:tcW w:w="1263"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18</w:t>
            </w:r>
            <w:r/>
          </w:p>
        </w:tc>
        <w:tc>
          <w:tcPr>
            <w:tcW w:w="1629" w:type="dxa"/>
            <w:vAlign w:val="center"/>
            <w:vMerge w:val="continue"/>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39" w:type="dxa"/>
            <w:vAlign w:val="center"/>
            <w:textDirection w:val="lrTb"/>
            <w:noWrap/>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基础地理实体（LOD1.3级三维图元模型）</w:t>
            </w:r>
            <w:r/>
          </w:p>
        </w:tc>
        <w:tc>
          <w:tcPr>
            <w:tcW w:w="2549"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OBJ、3DTiles</w:t>
            </w:r>
            <w:r/>
          </w:p>
        </w:tc>
      </w:tr>
      <w:tr>
        <w:trPr>
          <w:jc w:val="center"/>
          <w:trHeight w:val="454"/>
        </w:trPr>
        <w:tc>
          <w:tcPr>
            <w:tcW w:w="1263"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19</w:t>
            </w:r>
            <w:r/>
          </w:p>
        </w:tc>
        <w:tc>
          <w:tcPr>
            <w:tcW w:w="1629" w:type="dxa"/>
            <w:vAlign w:val="center"/>
            <w:vMerge w:val="continue"/>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4139" w:type="dxa"/>
            <w:vAlign w:val="center"/>
            <w:textDirection w:val="lrTb"/>
            <w:noWrap/>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元数据</w:t>
            </w:r>
            <w:r/>
          </w:p>
        </w:tc>
        <w:tc>
          <w:tcPr>
            <w:tcW w:w="2549"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GDB</w:t>
            </w:r>
            <w:r/>
          </w:p>
        </w:tc>
      </w:tr>
      <w:tr>
        <w:trPr>
          <w:jc w:val="center"/>
          <w:trHeight w:val="454"/>
        </w:trPr>
        <w:tc>
          <w:tcPr>
            <w:tcW w:w="1263"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20</w:t>
            </w:r>
            <w:r/>
          </w:p>
        </w:tc>
        <w:tc>
          <w:tcPr>
            <w:tcW w:w="1629" w:type="dxa"/>
            <w:vAlign w:val="center"/>
            <w:vMerge w:val="restart"/>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卫星遥感影像相关成果</w:t>
            </w:r>
            <w:r/>
          </w:p>
        </w:tc>
        <w:tc>
          <w:tcPr>
            <w:tcW w:w="4139" w:type="dxa"/>
            <w:vAlign w:val="center"/>
            <w:textDirection w:val="lrTb"/>
            <w:noWrap/>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卫星遥感影像</w:t>
            </w:r>
            <w:r/>
          </w:p>
        </w:tc>
        <w:tc>
          <w:tcPr>
            <w:tcW w:w="2549"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TIF</w:t>
            </w:r>
            <w:r/>
          </w:p>
        </w:tc>
      </w:tr>
      <w:tr>
        <w:trPr>
          <w:jc w:val="center"/>
          <w:trHeight w:val="454"/>
        </w:trPr>
        <w:tc>
          <w:tcPr>
            <w:tcW w:w="1263"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21</w:t>
            </w:r>
            <w:r/>
          </w:p>
        </w:tc>
        <w:tc>
          <w:tcPr>
            <w:tcW w:w="1629" w:type="dxa"/>
            <w:vAlign w:val="center"/>
            <w:vMerge w:val="continue"/>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39" w:type="dxa"/>
            <w:vAlign w:val="center"/>
            <w:textDirection w:val="lrTb"/>
            <w:noWrap/>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正射影像图（DOM）（卫片制作）</w:t>
            </w:r>
            <w:r/>
          </w:p>
        </w:tc>
        <w:tc>
          <w:tcPr>
            <w:tcW w:w="2549"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TIF</w:t>
            </w:r>
            <w:r/>
          </w:p>
        </w:tc>
      </w:tr>
      <w:tr>
        <w:trPr>
          <w:jc w:val="center"/>
          <w:trHeight w:val="454"/>
        </w:trPr>
        <w:tc>
          <w:tcPr>
            <w:tcW w:w="1263"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22</w:t>
            </w:r>
            <w:r/>
          </w:p>
        </w:tc>
        <w:tc>
          <w:tcPr>
            <w:tcW w:w="1629" w:type="dxa"/>
            <w:vAlign w:val="center"/>
            <w:vMerge w:val="continue"/>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39" w:type="dxa"/>
            <w:vAlign w:val="center"/>
            <w:textDirection w:val="lrTb"/>
            <w:noWrap/>
          </w:tcPr>
          <w:p>
            <w:pPr>
              <w:jc w:val="left"/>
              <w:widowControl/>
              <w:rPr>
                <w:rFonts w:hint="eastAsia" w:ascii="宋体" w:hAnsi="宋体" w:eastAsia="宋体" w:cs="宋体"/>
                <w:b/>
                <w:bCs/>
                <w:color w:val="auto"/>
                <w:sz w:val="24"/>
                <w:szCs w:val="24"/>
                <w:highlight w:val="none"/>
                <w:lang w:bidi="ar"/>
              </w:rPr>
            </w:pPr>
            <w:r>
              <w:rPr>
                <w:rFonts w:hint="eastAsia" w:ascii="宋体" w:hAnsi="宋体" w:eastAsia="宋体" w:cs="宋体"/>
                <w:bCs/>
                <w:color w:val="auto"/>
                <w:sz w:val="24"/>
                <w:szCs w:val="24"/>
                <w:highlight w:val="none"/>
              </w:rPr>
              <w:t xml:space="preserve">数据浏览、加密、自主下载等服务</w:t>
            </w:r>
            <w:r/>
          </w:p>
        </w:tc>
        <w:tc>
          <w:tcPr>
            <w:tcW w:w="2549"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整合部署、培训</w:t>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88"/>
        <w:ind w:firstLine="482"/>
        <w:spacing w:line="360" w:lineRule="auto"/>
        <w:tabs>
          <w:tab w:val="left" w:pos="0"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（五）质量要求</w:t>
      </w:r>
      <w:r/>
    </w:p>
    <w:p>
      <w:pPr>
        <w:pStyle w:val="913"/>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成交单位按照通过最终成果检验的要求进行质量控制（三维模型质量须满足省厅、市局实景三维模型建设要求），质量保证措施应全面、具体、安全、合理、切实可行、责任明确。</w:t>
      </w:r>
      <w:r/>
    </w:p>
    <w:p>
      <w:pPr>
        <w:pStyle w:val="913"/>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4"/>
          <w:highlight w:val="none"/>
        </w:rPr>
        <w:t xml:space="preserve">质量管理目标</w:t>
      </w:r>
      <w:r/>
    </w:p>
    <w:p>
      <w:pPr>
        <w:pStyle w:val="913"/>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数据成果的质量管理目标是：成果质量合格率达到100%，成果质量优良品率达到90%以上。</w:t>
      </w:r>
      <w:r/>
    </w:p>
    <w:p>
      <w:pPr>
        <w:pStyle w:val="913"/>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4"/>
          <w:highlight w:val="none"/>
        </w:rPr>
        <w:t xml:space="preserve">质量管理内容及方式</w:t>
      </w:r>
      <w:r/>
    </w:p>
    <w:p>
      <w:pPr>
        <w:pStyle w:val="913"/>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（1）过程质量控制</w:t>
      </w:r>
      <w:r/>
    </w:p>
    <w:p>
      <w:pPr>
        <w:pStyle w:val="913"/>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加强建设任务生产过程质量检查，保障数据生产过程质量控制工作的有效性，配合国家和省级层面开展的过程质量抽查；须建立质量管理体系，明确质量控制关键环节和具体措施，保障过程质量控制贯彻于生产实施的全过程。</w:t>
      </w:r>
      <w:r/>
    </w:p>
    <w:p>
      <w:pPr>
        <w:pStyle w:val="913"/>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（2）质量检查与验收</w:t>
      </w:r>
      <w:r/>
    </w:p>
    <w:p>
      <w:pPr>
        <w:pStyle w:val="913"/>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数据成果应依次通过过程检查和最终检查，并形成检查报告，如实记录数据精度统计和质量等级统计等情况。建设成果须经具有省级及以上资质的测绘产品质量检验机构检验合格。</w:t>
      </w:r>
      <w:r/>
    </w:p>
    <w:p>
      <w:pPr>
        <w:pStyle w:val="913"/>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（六）数据保密要求</w:t>
      </w:r>
      <w:r/>
    </w:p>
    <w:p>
      <w:pPr>
        <w:pStyle w:val="913"/>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成交单位负责对采购单位所提供的全部资料及最终成果保密，成交单位（包含工作人员）需遵守采购单位的保密规定，不以任何形式将收集的所有资料、数据等进行泄漏、传播。</w:t>
      </w:r>
      <w:r/>
    </w:p>
    <w:p>
      <w:pPr>
        <w:pStyle w:val="913"/>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项目服务人员需签署相关保密协议，承担本项目所涉工作中接触相关内容的保密义务。</w:t>
      </w:r>
      <w:r/>
    </w:p>
    <w:p>
      <w:pPr>
        <w:pStyle w:val="913"/>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项目成果最终所有权，含过程中产生的、数据、资料等成果均归属采购单位，在项目完成时成交单位必须全部移交；不得未经采购单位同意进行数据加密。</w:t>
      </w:r>
      <w:r/>
    </w:p>
    <w:p>
      <w:pPr>
        <w:pStyle w:val="913"/>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成交单位须维护项目服务成果，不得转让给第三方重复使用。</w:t>
      </w:r>
      <w:r/>
    </w:p>
    <w:p>
      <w:pPr>
        <w:pStyle w:val="913"/>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以上保密规定如有违反，采购单位有权追究成交单位相关法律责任。</w:t>
      </w:r>
      <w:r/>
    </w:p>
    <w:p>
      <w:pPr>
        <w:pStyle w:val="913"/>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（七）仪器设备投入要求</w:t>
      </w:r>
      <w:r/>
    </w:p>
    <w:p>
      <w:pPr>
        <w:pStyle w:val="913"/>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成交单位应按照项目成果符合质量及进度要求配备必要的无人机航测设备、仪器、计算机、车辆等，并投入到测区范围内使用，采购方有权对其进行检查和监督。</w:t>
      </w:r>
      <w:r/>
    </w:p>
    <w:p>
      <w:pPr>
        <w:pStyle w:val="913"/>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在测区使用的仪器设备应按照有关要求进行检测并合格，不得使用未经年检或检验不合格的设备。</w:t>
      </w:r>
      <w:r/>
    </w:p>
    <w:p>
      <w:pPr>
        <w:pStyle w:val="913"/>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（八）人员投入要求</w:t>
      </w:r>
      <w:r/>
    </w:p>
    <w:p>
      <w:pPr>
        <w:pStyle w:val="913"/>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成交公告后3个工作日内，成交单位如无异议，应迅速组织工作人员进场，采购方也将按照程序尽快与成交单位签订合同。</w:t>
      </w:r>
      <w:r/>
    </w:p>
    <w:p>
      <w:pPr>
        <w:pStyle w:val="913"/>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项目需设项目负责人，承诺的常驻人员未经采购方批准不得调离测区。</w:t>
      </w:r>
      <w:r/>
    </w:p>
    <w:p>
      <w:pPr>
        <w:pStyle w:val="913"/>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合同生效后立即组建项目团队，选派具有丰富实践经验和良好沟通、协调能力的项目负责人。成交单位须为本项目配备项目负责人1名，技术负责人1名、项目组人员若干。拟投入的作业人员结构应合理，具有较强的作业和管理能力，并具有专业上岗证书，拟投入人数不得低于20人。</w:t>
      </w:r>
      <w:r/>
    </w:p>
    <w:p>
      <w:pPr>
        <w:pStyle w:val="913"/>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在服务期间原则上不得更换项目负责人，特殊情况确需更换的，应事先征得采购方批准。采购方有权要求成交单位撤换工作不负责任、管理不力、贻误工期和造成严重的安全事故和工程质量事故、违法乱纪的专业技术、管理人员及项目经理，直至采购方满意为止。如项目负责人及相应资质的专业技术人员未按要求配备到位，视作违约，采购方有权单方面终止合同。</w:t>
      </w:r>
      <w:r/>
    </w:p>
    <w:p>
      <w:pPr>
        <w:pStyle w:val="913"/>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（九）安全作业要求</w:t>
      </w:r>
      <w:r/>
    </w:p>
    <w:p>
      <w:pPr>
        <w:pStyle w:val="913"/>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成交单位对自身的安全作业负主体责任。</w:t>
      </w:r>
      <w:r/>
    </w:p>
    <w:p>
      <w:pPr>
        <w:pStyle w:val="913"/>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成交单位需自行解决空域需求问题，按照正规的空域手续和流程作业，若测区范围内含有禁飞区域，禁飞区域应遵循国家相关规定开展工作。</w:t>
      </w:r>
      <w:r/>
    </w:p>
    <w:p>
      <w:pPr>
        <w:pStyle w:val="913"/>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成交单位须承诺：在项目服务期间应制定项目安全实施管理措施，并严格遵守安全管理要求，成交单位在项目服务过程中因管理不当、维护措施不当等因素或不按安全管理要求，造成人员安全或财产损失事故的，其责任均由成交单位自行承担，采购单位不承担责任。与本项目有关的所有质量、安全问题均由成交单位终身负责，如因上述原因造成的一切后果均由成交单位自行承担，与采购单位无涉。</w:t>
      </w:r>
      <w:r/>
    </w:p>
    <w:p>
      <w:pPr>
        <w:pStyle w:val="913"/>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（十）知识产权</w:t>
      </w:r>
      <w:r/>
    </w:p>
    <w:p>
      <w:pPr>
        <w:pStyle w:val="913"/>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成交单位应保证采购方免除且成交单位承担由于采购方在其本国使用该项目或项目任何一部分时而引起来自任意第三方提出的侵犯专利权、商标权或工业设计权等知识产权的起诉、行动、行政程序索赔、请求等以及采购方为此而产生的损失和损害、费用和支出（包括律师费）。</w:t>
      </w:r>
      <w:r/>
    </w:p>
    <w:p>
      <w:pPr>
        <w:pStyle w:val="913"/>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（十一）服务质量保证及售后服务要求</w:t>
      </w:r>
      <w:r/>
    </w:p>
    <w:p>
      <w:pPr>
        <w:pStyle w:val="913"/>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成交单位需严格按采购方规定的时间完成项目的全部工作内容，如在实施的过程中出现错误，误差，需负责及时更正直至采购方确认合格，成交方在项目进行过程中产生的任何安全、损坏等责任事故一律由成交单位自行承担。</w:t>
      </w:r>
      <w:r/>
    </w:p>
    <w:p>
      <w:pPr>
        <w:pStyle w:val="913"/>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成交单位需提供必要的技术支持，协助采购方完成其他需要成交单位配合的服务。</w:t>
      </w:r>
      <w:r/>
    </w:p>
    <w:p>
      <w:pPr>
        <w:pStyle w:val="913"/>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成交单位应严格遵守服务合约，项目完成以后，如采购方有需要成交单位配合的服务，成交单位必需予以配合，协助采购方完善项目内容。</w:t>
      </w:r>
      <w:r/>
    </w:p>
    <w:p>
      <w:pPr>
        <w:pStyle w:val="913"/>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此项目要求提供多样化技术支持服务，处理出现的各种问题，以保证工作的正常运行。成交单位服务响应时间为2小时、一般售后问题时间控制在4小时内、重大售后问题时间控制住8小时内。在客户工作需要技术支持情况下，如需现场解决，到达现场时间不超过2小时，特殊情况下不超过3小时。</w:t>
      </w:r>
      <w:r/>
    </w:p>
    <w:p>
      <w:pPr>
        <w:pStyle w:val="913"/>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项目完成后1年内，成交单位需提供免费技术支持。</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三、综合说明：</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成交单位需严格按招标单位规定的时间完成项目的各项工作内容，如在实施的过程中出现错误，误差，需负责及时更正直至采购单位确认合格，成交单位在项目进行过程中产生的任何安全、损坏等责任事故一律由成交单位自行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2、投标单位必须承诺按招标文件中提出的全部技术规范要求及提供服务，如果以其中某些条款不响应时，应在文件中逐条列出，未列出的视同响应。</w:t>
      </w:r>
      <w:r/>
    </w:p>
    <w:p>
      <w:pPr>
        <w:ind w:firstLine="480"/>
        <w:jc w:val="left"/>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本项目为综合报价，包括完成本项工作所需的人工、设备、材料、管理、保险、利润、税金、交通、通讯、办公、验收、技术支持、成交服务费、政策性文件规定及合同包含的所有风险、责任等各项应有费用。如除非因特殊原因并经双方协商同意，成交单位不得再要求追加任何费用。同时，除非合同条款中另有规定，否则，成交单位所报价格在合同实施期间不因市场变化因素而变动。</w:t>
      </w:r>
      <w:r/>
    </w:p>
    <w:p>
      <w:pPr>
        <w:ind w:firstLine="48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项目质量必须严格按照国家规范及江苏省、苏州市相应地方规范、招标文件的技术规范的有关要求执行，如果在合同履行过程中有新的国家或行业（部）规范和标准出台的，则</w:t>
      </w:r>
      <w:r>
        <w:rPr>
          <w:rFonts w:hint="eastAsia" w:ascii="宋体" w:hAnsi="宋体" w:eastAsia="宋体" w:cs="宋体"/>
          <w:color w:val="auto"/>
          <w:sz w:val="24"/>
          <w:szCs w:val="24"/>
          <w:highlight w:val="none"/>
        </w:rPr>
        <w:t xml:space="preserve">成交</w:t>
      </w:r>
      <w:r>
        <w:rPr>
          <w:rFonts w:hint="eastAsia" w:ascii="宋体" w:hAnsi="宋体" w:eastAsia="宋体" w:cs="宋体"/>
          <w:color w:val="auto"/>
          <w:sz w:val="24"/>
          <w:szCs w:val="24"/>
          <w:highlight w:val="none"/>
          <w:lang w:val="zh-CN"/>
        </w:rPr>
        <w:t xml:space="preserve">单位应确保其合同内容达到并符合新的国家或行业（部）规范和标准，因此而增加的费用及风险由成交单位自行承担。</w:t>
      </w:r>
      <w:r/>
    </w:p>
    <w:p>
      <w:pPr>
        <w:ind w:firstLine="482"/>
        <w:spacing w:line="360" w:lineRule="auto"/>
        <w:tabs>
          <w:tab w:val="left" w:pos="567"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四、有关说明：</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实施质量必须严格按照国家规范及江苏省、苏州市相应地方规范、采购文件的技术规范的有关要求执行，如果在合同履行过程中有新的国家或行业（部）规范和标准出台的，则供应商应确保其合同标的物达到并符合新的国家或行业（部）规范和标准，因此而增加的费用及风险由供应商自行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2、供应商须在项目实施前把详细的实施方案报送采购人审批，经批准同意后方可以组织实施。在项目实施期间供应商应遵守项目现场及采购人的各项规章制度。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3、供应商在项目实施期间应无条件的接受采购人的监督管理，提出的质量问题要及时整改，整改完毕后通知采购人检查验收，合格后书面报送采购人备案。</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人使用供应商的货物、技术、资料、服务或其他任何一部分时，享有无偿使用权，并免受第三方提出的侵犯其专利权、著作权、商标权或其他知识产权的起诉。如果第三方提出侵权指控，供应商应承担由此而引起的一切法律责任和费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5、与本次采购项目有关的质量、安全问题均由供应商负责，相关的人员、财产责任风险均由供应商承担。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本次采购人拟采购的产品均不属于《节能产品政府采购品目清单》范围内的政府强制采购产品，也均不属于《节能产品政府采购品目清单》、《环境标志产品政府采购品目清单》范围内优先采购的产品（不包含政府强制采购产品）。</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响应产品如属于国家认证认可监督管理委员会现行《强制性产品认证目录描述与界定表》管理的强制性认证产品，供应商在提请采购人验收时须提供上述产品的对应证书，否则采购人有权不予验收，且供应商应承担由此而引起的一切法律责任和费用。</w:t>
      </w:r>
      <w:r/>
    </w:p>
    <w:p>
      <w:pPr>
        <w:ind w:firstLine="482"/>
        <w:spacing w:line="360" w:lineRule="auto"/>
        <w:tabs>
          <w:tab w:val="left" w:pos="567"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五、其他要求：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1、若采购文件中涉及品牌或品牌导向，则仅作参考。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2、响应文件须如实进行响应，量化指标必须列明具体数值。供应商在其响应文件中对于采购文件要求提供的货物或服务情况均须进行完整的阐述和说明。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提供的响应文件内容须真实、准确、有效，如提供虚假材料或对采购文件所要求说明的情况故意隐瞒或虚报，视为不实质性响应采购要求，其响应文件将被拒绝。已中标的将取消中标资格，并按《中华人民共和国政府采购法》第七十七条的相关办法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4、供应商须在响应报价中对所要采购的全部内容进行报价，只投其中部分内容者，其响应文件将被拒绝，采购人除支付本次采购项目的成交金额外不再承担其他任何费用。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5、项目地点：采购人指定地点（苏州大市范围内）。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6、服务要求：供应商在接到采购人修正报告的服务要求时，须及时响应和解决。在2小时内必须响应（电话或远程服务），紧急情况下1小时内到达采购人指定地点，予以修正和解决采购人提出的服务要求。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7、验收要求: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根据苏财规【2024】7号文件关于印发《江苏省政府采购履约验收管理办法》的通知。采购人或委托专家负责采购项目履约验收具体工作。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标准:按照法律法规、标准规范以及采购合同指定的所有文件、报告。如验收不合格,采购人有权要求成交单位整改，成交单位多次整改不合格,采购人有权扣除相应的合同价款如履约验收合格，采购人按合同约定支付最终应付金额。</w:t>
      </w:r>
      <w:r/>
    </w:p>
    <w:p>
      <w:pPr>
        <w:numPr>
          <w:ilvl w:val="0"/>
          <w:numId w:val="4"/>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凡涉及本项目的补充说明和修改，均以苏州政府采购网上发布的信息为准。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3"/>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13"/>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第五章 合同主要条款</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项目名称：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项目编号：</w:t>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甲方（项目采购人）：</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 </w:t>
      </w:r>
      <w:r>
        <w:rPr>
          <w:rFonts w:hint="eastAsia" w:ascii="宋体" w:hAnsi="宋体" w:eastAsia="宋体" w:cs="宋体"/>
          <w:color w:val="auto"/>
          <w:sz w:val="24"/>
          <w:szCs w:val="24"/>
          <w:highlight w:val="none"/>
        </w:rPr>
        <w:tab/>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 </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乙方（成交供应商）：</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 </w:t>
      </w:r>
      <w:r>
        <w:rPr>
          <w:rFonts w:hint="eastAsia" w:ascii="宋体" w:hAnsi="宋体" w:eastAsia="宋体" w:cs="宋体"/>
          <w:color w:val="auto"/>
          <w:sz w:val="24"/>
          <w:szCs w:val="24"/>
          <w:highlight w:val="none"/>
        </w:rPr>
        <w:tab/>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 </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甲方所需 </w:t>
      </w:r>
      <w:r>
        <w:rPr>
          <w:rFonts w:hint="eastAsia" w:ascii="宋体" w:hAnsi="宋体" w:eastAsia="宋体" w:cs="宋体"/>
          <w:color w:val="auto"/>
          <w:sz w:val="24"/>
          <w:szCs w:val="24"/>
          <w:highlight w:val="none"/>
          <w:u w:val="single"/>
        </w:rPr>
        <w:t xml:space="preserve">2026年基础地理信息数据更新</w:t>
      </w:r>
      <w:r>
        <w:rPr>
          <w:rFonts w:hint="eastAsia" w:ascii="宋体" w:hAnsi="宋体" w:eastAsia="宋体" w:cs="宋体"/>
          <w:color w:val="auto"/>
          <w:sz w:val="24"/>
          <w:szCs w:val="24"/>
          <w:highlight w:val="none"/>
        </w:rPr>
        <w:t xml:space="preserve"> 项目(项目名称)经</w:t>
      </w:r>
      <w:r>
        <w:rPr>
          <w:rFonts w:hint="eastAsia" w:ascii="宋体" w:hAnsi="宋体" w:eastAsia="宋体" w:cs="宋体"/>
          <w:color w:val="auto"/>
          <w:sz w:val="24"/>
          <w:szCs w:val="24"/>
          <w:highlight w:val="none"/>
          <w:u w:val="single"/>
        </w:rPr>
        <w:t xml:space="preserve">苏州正杰招投标咨询服务有限公司</w:t>
      </w:r>
      <w:r>
        <w:rPr>
          <w:rFonts w:hint="eastAsia" w:ascii="宋体" w:hAnsi="宋体" w:eastAsia="宋体" w:cs="宋体"/>
          <w:color w:val="auto"/>
          <w:sz w:val="24"/>
          <w:szCs w:val="24"/>
          <w:highlight w:val="none"/>
        </w:rPr>
        <w:t xml:space="preserve">以竞争性磋商方式进行采购，并依法确定乙方为成交供应商。根据《中华人民共和国民法典》和《中华人民共和国政府采购法》等有关法律法规，为明确采购人（甲方）和成交供应商（乙方）采购过程中的权利、义务和经济责任，双方遵循平等、自愿、公平和诚实信用原则，经友好协商，同意按照下面的条款和条件订立本合同，以资共同遵守。</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一、合同文件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以下文件是构成本合同不可分割的部分：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（一）本项目采购文件；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（二）成交供应商响应文件；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（三）合同条款；</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（四）成交供应商做出的有关澄清、说明或者补正文件（若有）；</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（五）确定成交供应商的文件（包括但不限于成交通知书等）；</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（六）本合同附件（若有）。</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二、服务要求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本合同项下乙方所提供的服务内容为：详见采购文件中的采购需求。</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三、合同金额</w:t>
      </w:r>
      <w:r/>
    </w:p>
    <w:p>
      <w:pPr>
        <w:ind w:firstLine="482"/>
        <w:spacing w:line="360" w:lineRule="auto"/>
        <w:rPr>
          <w:rFonts w:hint="eastAsia" w:ascii="宋体" w:hAnsi="宋体" w:eastAsia="宋体" w:cs="宋体"/>
          <w:b/>
          <w:color w:val="auto"/>
          <w:sz w:val="24"/>
          <w:szCs w:val="24"/>
          <w:highlight w:val="none"/>
          <w:u w:val="single"/>
        </w:rPr>
      </w:pPr>
      <w:r/>
      <w:bookmarkStart w:id="11" w:name="_Hlk56427584"/>
      <w:r>
        <w:rPr>
          <w:rFonts w:hint="eastAsia" w:ascii="宋体" w:hAnsi="宋体" w:eastAsia="宋体" w:cs="宋体"/>
          <w:b/>
          <w:color w:val="auto"/>
          <w:sz w:val="24"/>
          <w:szCs w:val="24"/>
          <w:highlight w:val="none"/>
        </w:rPr>
        <w:t xml:space="preserve">合同总金额为</w:t>
      </w:r>
      <w:r>
        <w:rPr>
          <w:rFonts w:hint="eastAsia" w:ascii="宋体" w:hAnsi="宋体" w:eastAsia="宋体" w:cs="宋体"/>
          <w:b/>
          <w:color w:val="auto"/>
          <w:sz w:val="24"/>
          <w:szCs w:val="24"/>
          <w:highlight w:val="none"/>
          <w:u w:val="single"/>
        </w:rPr>
        <w:t xml:space="preserve">人民币          元，大写：        。</w:t>
      </w:r>
      <w:r/>
    </w:p>
    <w:p>
      <w:pPr>
        <w:ind w:firstLine="482"/>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合同金额</w:t>
      </w:r>
      <w:r>
        <w:rPr>
          <w:rFonts w:ascii="宋体" w:hAnsi="宋体" w:eastAsia="宋体"/>
          <w:b/>
          <w:bCs/>
          <w:color w:val="auto"/>
          <w:sz w:val="24"/>
          <w:szCs w:val="24"/>
          <w:highlight w:val="none"/>
        </w:rPr>
        <w:t xml:space="preserve">包括</w:t>
      </w:r>
      <w:r>
        <w:rPr>
          <w:rFonts w:hint="eastAsia" w:ascii="宋体" w:hAnsi="宋体" w:eastAsia="宋体" w:cs="宋体"/>
          <w:b/>
          <w:bCs/>
          <w:color w:val="auto"/>
          <w:sz w:val="24"/>
          <w:szCs w:val="24"/>
          <w:highlight w:val="none"/>
        </w:rPr>
        <w:t xml:space="preserve">完成所有采购内容以及本项目所需的劳务支出、保险、配套费用、税费、验收及服务相关等所发生的全部费用以及乙方企业利润、税金和政策性文件规定及合同包含的所有风险、责任等各项应有费用</w:t>
      </w:r>
      <w:r>
        <w:rPr>
          <w:rFonts w:hint="eastAsia" w:ascii="宋体" w:hAnsi="宋体" w:eastAsia="宋体"/>
          <w:b/>
          <w:bCs/>
          <w:color w:val="auto"/>
          <w:sz w:val="24"/>
          <w:szCs w:val="24"/>
          <w:highlight w:val="none"/>
        </w:rPr>
        <w:t xml:space="preserve">。</w:t>
      </w:r>
      <w:r>
        <w:rPr>
          <w:rFonts w:ascii="宋体" w:hAnsi="宋体" w:eastAsia="宋体"/>
          <w:b/>
          <w:bCs/>
          <w:color w:val="auto"/>
          <w:sz w:val="24"/>
          <w:szCs w:val="24"/>
          <w:highlight w:val="none"/>
        </w:rPr>
        <w:t xml:space="preserve">除非因特殊原因并经双方协商同意，</w:t>
      </w:r>
      <w:r>
        <w:rPr>
          <w:rFonts w:hint="eastAsia" w:ascii="宋体" w:hAnsi="宋体" w:eastAsia="宋体"/>
          <w:b/>
          <w:bCs/>
          <w:color w:val="auto"/>
          <w:sz w:val="24"/>
          <w:szCs w:val="24"/>
          <w:highlight w:val="none"/>
        </w:rPr>
        <w:t xml:space="preserve">乙方</w:t>
      </w:r>
      <w:r>
        <w:rPr>
          <w:rFonts w:ascii="宋体" w:hAnsi="宋体" w:eastAsia="宋体"/>
          <w:b/>
          <w:bCs/>
          <w:color w:val="auto"/>
          <w:sz w:val="24"/>
          <w:szCs w:val="24"/>
          <w:highlight w:val="none"/>
        </w:rPr>
        <w:t xml:space="preserve">不得再要求追加任何费用。同时，除非合同条款中另有规定，否则，</w:t>
      </w:r>
      <w:r>
        <w:rPr>
          <w:rFonts w:hint="eastAsia" w:ascii="宋体" w:hAnsi="宋体" w:eastAsia="宋体"/>
          <w:b/>
          <w:bCs/>
          <w:color w:val="auto"/>
          <w:sz w:val="24"/>
          <w:szCs w:val="24"/>
          <w:highlight w:val="none"/>
        </w:rPr>
        <w:t xml:space="preserve">乙方</w:t>
      </w:r>
      <w:r>
        <w:rPr>
          <w:rFonts w:ascii="宋体" w:hAnsi="宋体" w:eastAsia="宋体"/>
          <w:b/>
          <w:bCs/>
          <w:color w:val="auto"/>
          <w:sz w:val="24"/>
          <w:szCs w:val="24"/>
          <w:highlight w:val="none"/>
        </w:rPr>
        <w:t xml:space="preserve">所报价格在合同实施期间不因市场变化因素而变动。</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四、付款约定</w:t>
      </w:r>
      <w:bookmarkEnd w:id="11"/>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1、甲方根据乙方在本合同中所提供银行开户信息转账支付。</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乙方开户名称：</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开户银行：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银行账号：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乙方银行账户如需变更，应至少于付款期限届满前10个工作日书面通知甲方，否则产生的一切责任、因变更引起的额外费用由乙方承担。</w:t>
      </w:r>
      <w:r/>
    </w:p>
    <w:p>
      <w:pPr>
        <w:numPr>
          <w:ilvl w:val="255"/>
          <w:numId w:val="0"/>
        </w:num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2、付款步骤：合同生效后，甲方根据以下方式进行付款：</w:t>
      </w:r>
      <w:r/>
    </w:p>
    <w:p>
      <w:pPr>
        <w:numPr>
          <w:ilvl w:val="255"/>
          <w:numId w:val="0"/>
        </w:num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ascii="宋体" w:hAnsi="宋体" w:eastAsia="宋体" w:cs="宋体"/>
          <w:bCs/>
          <w:color w:val="auto"/>
          <w:sz w:val="24"/>
          <w:szCs w:val="24"/>
          <w:highlight w:val="none"/>
        </w:rPr>
        <w:t xml:space="preserve">合同生效后，甲方收到乙方开具的发票二十个工作日内支付合同总金额的20%；</w:t>
      </w:r>
      <w:r/>
    </w:p>
    <w:p>
      <w:pPr>
        <w:numPr>
          <w:ilvl w:val="255"/>
          <w:numId w:val="0"/>
        </w:num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ascii="宋体" w:hAnsi="宋体" w:eastAsia="宋体" w:cs="宋体"/>
          <w:bCs/>
          <w:color w:val="auto"/>
          <w:sz w:val="24"/>
          <w:szCs w:val="24"/>
          <w:highlight w:val="none"/>
        </w:rPr>
        <w:t xml:space="preserve">初步成果提交</w:t>
      </w:r>
      <w:r>
        <w:rPr>
          <w:rFonts w:hint="eastAsia" w:ascii="宋体" w:hAnsi="宋体" w:eastAsia="宋体" w:cs="宋体"/>
          <w:bCs/>
          <w:color w:val="auto"/>
          <w:sz w:val="24"/>
          <w:szCs w:val="24"/>
          <w:highlight w:val="none"/>
        </w:rPr>
        <w:t xml:space="preserve">、经监理确认后，甲方收到</w:t>
      </w:r>
      <w:r>
        <w:rPr>
          <w:rFonts w:ascii="宋体" w:hAnsi="宋体" w:eastAsia="宋体" w:cs="宋体"/>
          <w:bCs/>
          <w:color w:val="auto"/>
          <w:sz w:val="24"/>
          <w:szCs w:val="24"/>
          <w:highlight w:val="none"/>
        </w:rPr>
        <w:t xml:space="preserve">乙方开具的发票二十个工作日内支付合同总金额的</w:t>
      </w:r>
      <w:r>
        <w:rPr>
          <w:rFonts w:hint="eastAsia" w:ascii="宋体" w:hAnsi="宋体" w:eastAsia="宋体" w:cs="宋体"/>
          <w:bCs/>
          <w:color w:val="auto"/>
          <w:sz w:val="24"/>
          <w:szCs w:val="24"/>
          <w:highlight w:val="none"/>
        </w:rPr>
        <w:t xml:space="preserve">3</w:t>
      </w:r>
      <w:r>
        <w:rPr>
          <w:rFonts w:ascii="宋体" w:hAnsi="宋体" w:eastAsia="宋体" w:cs="宋体"/>
          <w:bCs/>
          <w:color w:val="auto"/>
          <w:sz w:val="24"/>
          <w:szCs w:val="24"/>
          <w:highlight w:val="none"/>
        </w:rPr>
        <w:t xml:space="preserve">0%；</w:t>
      </w:r>
      <w:r/>
    </w:p>
    <w:p>
      <w:pPr>
        <w:numPr>
          <w:ilvl w:val="255"/>
          <w:numId w:val="0"/>
        </w:num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ascii="宋体" w:hAnsi="宋体" w:eastAsia="宋体" w:cs="宋体"/>
          <w:bCs/>
          <w:color w:val="auto"/>
          <w:sz w:val="24"/>
          <w:szCs w:val="24"/>
          <w:highlight w:val="none"/>
        </w:rPr>
        <w:t xml:space="preserve">成果经甲方验收合格后，甲方收到乙方开具的发票二十个工作日内支付合同总金额的</w:t>
      </w:r>
      <w:r>
        <w:rPr>
          <w:rFonts w:hint="eastAsia" w:ascii="宋体" w:hAnsi="宋体" w:eastAsia="宋体" w:cs="宋体"/>
          <w:bCs/>
          <w:color w:val="auto"/>
          <w:sz w:val="24"/>
          <w:szCs w:val="24"/>
          <w:highlight w:val="none"/>
        </w:rPr>
        <w:t xml:space="preserve">3</w:t>
      </w:r>
      <w:r>
        <w:rPr>
          <w:rFonts w:ascii="宋体" w:hAnsi="宋体" w:eastAsia="宋体" w:cs="宋体"/>
          <w:bCs/>
          <w:color w:val="auto"/>
          <w:sz w:val="24"/>
          <w:szCs w:val="24"/>
          <w:highlight w:val="none"/>
        </w:rPr>
        <w:t xml:space="preserve">0%</w:t>
      </w:r>
      <w:r>
        <w:rPr>
          <w:rFonts w:hint="eastAsia" w:ascii="宋体" w:hAnsi="宋体" w:eastAsia="宋体" w:cs="宋体"/>
          <w:bCs/>
          <w:color w:val="auto"/>
          <w:sz w:val="24"/>
          <w:szCs w:val="24"/>
          <w:highlight w:val="none"/>
        </w:rPr>
        <w:t xml:space="preserve">；</w:t>
      </w:r>
      <w:r/>
    </w:p>
    <w:p>
      <w:pPr>
        <w:numPr>
          <w:ilvl w:val="255"/>
          <w:numId w:val="0"/>
        </w:num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ascii="宋体" w:hAnsi="宋体" w:eastAsia="宋体" w:cs="宋体"/>
          <w:bCs/>
          <w:color w:val="auto"/>
          <w:sz w:val="24"/>
          <w:szCs w:val="24"/>
          <w:highlight w:val="none"/>
        </w:rPr>
        <w:t xml:space="preserve">最终成果提交后，甲方收到乙方开具的发票二十个工作日内支付合同总金额的20%</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3、付款方式：银行汇票或转账。</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五、服务履行地点、期限</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1、服务履行地点：</w:t>
      </w:r>
      <w:r>
        <w:rPr>
          <w:rFonts w:hint="eastAsia" w:ascii="宋体" w:hAnsi="宋体" w:eastAsia="宋体" w:cs="宋体"/>
          <w:bCs/>
          <w:color w:val="auto"/>
          <w:sz w:val="24"/>
          <w:szCs w:val="24"/>
          <w:highlight w:val="none"/>
        </w:rPr>
        <w:t xml:space="preserve">甲方指定地点</w:t>
      </w:r>
      <w:r>
        <w:rPr>
          <w:rFonts w:hint="eastAsia" w:ascii="宋体" w:hAnsi="宋体" w:eastAsia="宋体" w:cs="宋体"/>
          <w:bCs/>
          <w:color w:val="auto"/>
          <w:sz w:val="24"/>
          <w:szCs w:val="24"/>
          <w:highlight w:val="none"/>
          <w:lang w:val="zh-CN"/>
        </w:rPr>
        <w:t xml:space="preserve">。</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bCs/>
          <w:color w:val="auto"/>
          <w:sz w:val="24"/>
          <w:szCs w:val="24"/>
          <w:highlight w:val="none"/>
          <w:lang w:val="zh-CN"/>
        </w:rPr>
        <w:t xml:space="preserve">服务履行期限</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highlight w:val="none"/>
        </w:rPr>
        <w:t xml:space="preserve">自合同签订之日起10个月，项目拟于2027年3月底前完成项目的所有建设内容并经质检合格（过程成果根据使用需要，分期、分批提交）。</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六、验收</w:t>
      </w:r>
      <w:r/>
    </w:p>
    <w:p>
      <w:pPr>
        <w:ind w:firstLine="48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本项目</w:t>
      </w:r>
      <w:r>
        <w:rPr>
          <w:rFonts w:hint="eastAsia" w:ascii="宋体" w:hAnsi="宋体" w:eastAsia="宋体" w:cs="宋体"/>
          <w:color w:val="auto"/>
          <w:sz w:val="24"/>
          <w:szCs w:val="24"/>
          <w:highlight w:val="none"/>
        </w:rPr>
        <w:t xml:space="preserve">完成后由甲方组织。</w:t>
      </w:r>
      <w:r>
        <w:rPr>
          <w:rFonts w:hint="eastAsia" w:ascii="宋体" w:hAnsi="宋体" w:eastAsia="宋体" w:cs="宋体"/>
          <w:bCs/>
          <w:color w:val="auto"/>
          <w:sz w:val="24"/>
          <w:szCs w:val="24"/>
          <w:highlight w:val="none"/>
        </w:rPr>
        <w:t xml:space="preserve">具体验收时间由甲方确定，未明确的由双方进行商议确定。</w:t>
      </w:r>
      <w:r/>
    </w:p>
    <w:p>
      <w:pPr>
        <w:ind w:firstLine="48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2、验收标准：按照招标文件中规定的采购内容和需求及乙方承诺的其他指标进行验收，验收标准必须符合相关国家、省、市标准。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任一项验收不合格的，乙方应负责在甲方限定的期限内完成整改，因整改而导致的费用和损失由乙方自行承担，若导致项目逾期的，乙方承担逾期违约责任。项目经整改后仍不合格的，视为乙方违约，甲方可以单方解除本合同并要求乙方退还已支付的全部费用，由此造成甲方的损失由乙方承担赔偿（包括但不限于诉讼费、合理律师费等），且乙方无权要求返还履约保证金（如有）。</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七、服务质量</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1、乙方应保证提供给甲方的服务完全符合本项目采购文件规定的服务标准。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2、乙方应保证提供的服务应符合中华人民共和国相关标准及相应的技术规范、本次采购相关文件中的全部相关要求及相关标准及相应的技术规范中之较高者。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3、乙方保证提供的服务符合中华人民共和国国家及行业的安全质量标准、环保标准中之较高者。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乙方保证，乙方依据本合同提供的服务及相关的软件和技术资料，乙方均已得到有关知识产权的权利人的合法授权，如发生涉及到专利权、著作权、商标权等争议，乙方负责处理，并承担由此引起的全部法律及经济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乙方应保证甲方在中国境内使用服务或服务的任何一部分时，免受第三方提出的侵犯其知识产权的诉讼。如甲方因本合同项下服务成果的知识产权原因而受到第三方的索赔请求，乙方应负责处理，并承担甲方因此发生的全部费用及损失。</w:t>
      </w:r>
      <w:r/>
    </w:p>
    <w:p>
      <w:pPr>
        <w:pStyle w:val="914"/>
        <w:ind w:left="0"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6、乙方应落实</w:t>
      </w:r>
      <w:r>
        <w:rPr>
          <w:rFonts w:ascii="宋体" w:hAnsi="宋体" w:eastAsia="宋体" w:cs="宋体"/>
          <w:bCs/>
          <w:color w:val="auto"/>
          <w:szCs w:val="24"/>
          <w:highlight w:val="none"/>
        </w:rPr>
        <w:t xml:space="preserve">各项安全生产规定</w:t>
      </w:r>
      <w:r>
        <w:rPr>
          <w:rFonts w:hint="eastAsia" w:ascii="宋体" w:hAnsi="宋体" w:eastAsia="宋体" w:cs="宋体"/>
          <w:bCs/>
          <w:color w:val="auto"/>
          <w:szCs w:val="24"/>
          <w:highlight w:val="none"/>
        </w:rPr>
        <w:t xml:space="preserve">，做好安全生产培训，人员在工作期间所产生的一切劳资、工伤纠纷及各类安全事故，皆由乙方全权负责并承担，与甲方不发生任何关系。</w:t>
      </w:r>
      <w:r/>
    </w:p>
    <w:p>
      <w:pPr>
        <w:pStyle w:val="914"/>
        <w:ind w:left="0"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7、乙方保证合同履行过程中，乙方原因致使第三人（包括但不限于甲方工作人员、乙方工作人员及其他任意第三人）遭受人身损害、财产损失的，</w:t>
      </w:r>
      <w:r>
        <w:rPr>
          <w:rFonts w:hint="eastAsia" w:ascii="宋体" w:hAnsi="宋体" w:eastAsia="宋体" w:cs="宋体"/>
          <w:color w:val="auto"/>
          <w:szCs w:val="24"/>
          <w:highlight w:val="none"/>
          <w:lang w:bidi="ar"/>
        </w:rPr>
        <w:t xml:space="preserve">均由乙方负责处理并承担全部赔偿责任。甲方因此产生的损失，甲方有权向乙方全额追偿。</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八、履约保证金</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本项目不要求提交履约保证金。</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九、违约责任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合同一方不履行合同义务或者履行合同义务不符合约定的，应当承担继续履行、采取补救措施或者赔偿损失等违约责任。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1、甲方违约责任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（1）在合同生效后，甲方无故要求终止服务的，应向乙方偿付合同总价款的5%，作为违约金，违约金不足以补偿损失的，乙方有权要求甲方补足。</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（2）甲方逾期付款的应按照逾期付款金额的每天万分之一支付逾期付款违约金。</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（3）甲方违反合同约定，拒绝接受乙方交付的合格服务的，应当承担乙方由此造成的损失。</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2、乙方违约责任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乙方不能服务或服务不合格从而影响甲方按期正常使用的，甲方有权解除合同，乙方向甲方赔偿合同总价款20%的违约金，违约金不足以补偿损失的甲方有权要求乙方补足（补充违约金不超过合同总价的100%）。</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（2）乙方逾期提供服务的，应在服务前与甲方和招标代理协商，甲方仍需求的，乙方应立即提供服务并应按照合同金额的每天万分之四支付逾期服务违约金，同时承担甲方因此遭致的损失费用。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3、如果出现政府采购监管部门在处理投诉事项期间，通知甲方暂停采购活动的情形，或者询问或质疑事项可能影响最终成交结果的，导致甲方中止履行合同的情形，均不视为甲方违约。</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十、合同的解除和转让</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1、甲方和乙方协商一致，可以解除合同，并报政府采购监管部门审查备案。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2、有下列情形之一，合同一方可以解除合同：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（1）因不可抗力致使不能实现合同目的，未受不可抗力影响的一方有权解除合同；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（2）采购文件约定的解除合同的情形。</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3、政府采购合同继续履行将损害国家利益和社会公共利益，甲方有权变更、中止或者终止、解除合同。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乙方提交的投标材料虚假，或者乙方故意隐瞒足以导致不能中标的事实被发现的，甲方可以单方解除本合同并要求乙方退还已支付的全部费用，由此造成甲方的损失由乙方承担赔偿（包括但不限于诉讼费、合理律师费等），且乙方无权要求返还履约保证金。</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本合同不得以任何形式转让，否则视为乙方违约，甲方可以单方解除本合同并要求乙方退还已支付的全部费用，由此造成甲方的损失由乙方承担赔偿（包括但不限于诉讼费、合理律师费等），且乙方无权要求返还履约保证金（如有）。</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本合同未经甲方书面同意不得分包，否则视为乙方违约，甲方可以单方解除本合同并要求乙方退还已支付的全部费用，由此造成甲方的损失由乙方承担赔偿（包括但不限于诉讼费、合理律师费等），且乙方无权要求返还履约保证金（如有）。</w:t>
      </w:r>
      <w:r/>
    </w:p>
    <w:p>
      <w:pPr>
        <w:pStyle w:val="968"/>
        <w:ind w:firstLine="480"/>
        <w:rPr>
          <w:color w:val="auto"/>
          <w:highlight w:val="none"/>
        </w:rPr>
      </w:pPr>
      <w:r>
        <w:rPr>
          <w:rFonts w:hint="eastAsia" w:hAnsi="宋体"/>
          <w:color w:val="auto"/>
          <w:szCs w:val="24"/>
          <w:highlight w:val="none"/>
        </w:rPr>
        <w:t xml:space="preserve">7、有权解除合同的一方，应当在违约事实或不可抗力发生之后书面通知对方以主张解除合同，合同在书面通知到达对方时解除。</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十一、不可抗力</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1、不可抗力指下列事件：战争、动乱、瘟疫、严重火灾、洪水、地震、风暴或其他自然灾害，以及本合同各方不可预见、不可防止并不能避免或克服的一切其他因素及事件。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2、任何一方因不可抗力不能履行本合同规定的全部或部分义务，该方应尽快通知另一方，并须在不可抗力发生后7日内以书面形式向另一方提供详细情况报告及不可抗力对履行本合同的影响程度的说明。</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合同一方因不可抗力不能履行本合同的，应当及时通知对方，以减轻可能给对方造成的损失。</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4、合同各方应根据不可抗力对本合同履行的影响程度，协商确定是否终止本合同，或是继续履行本合同。</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十二、保密条款</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1、乙方负责对甲方所提供资料及最终成果的保密，乙方及其工作人员需遵守甲方的保密规定，不以任何形式将收集的所有资料、数据等进行泄漏、传播；</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2、项目服务人员需签署相关保密协议，承担工作中接触相关内容的保密义务；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3、项目成果最终所有权属甲方，在项目完成时乙方必须全部移交；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4、乙方须维护项目服务成果，不得转让给第三方重复使用；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5、以上保密规定如有违反，甲方有权追究乙方相关法律责任。</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十三、联系方式</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合同双方发出的与本合同有关的通知或回复均应发至本合同首部载明的通讯地址，一方变更通讯地址，应自变更之日起3个工作日内，将变更后的地址通知对方。变更方不履行通知义务的，应对此造成的一切后果承担法律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3、上述发出通知、回复的费用由发出一方承担。</w:t>
      </w:r>
      <w:r/>
    </w:p>
    <w:p>
      <w:pPr>
        <w:ind w:firstLine="480"/>
        <w:spacing w:line="360" w:lineRule="auto"/>
        <w:rPr>
          <w:color w:val="auto"/>
          <w:highlight w:val="none"/>
        </w:rPr>
      </w:pPr>
      <w:r>
        <w:rPr>
          <w:rFonts w:hint="eastAsia" w:ascii="宋体" w:hAnsi="宋体" w:eastAsia="宋体" w:cs="宋体"/>
          <w:bCs/>
          <w:color w:val="auto"/>
          <w:sz w:val="24"/>
          <w:szCs w:val="24"/>
          <w:highlight w:val="none"/>
        </w:rPr>
        <w:t xml:space="preserve">4、双方一致同意本协议载明的地址作为诉讼时人民法院送达法律文书的有效地址（包括但不限于一审、二审、执行、再审）。人民法院向任何一方协议载明的地址或书面通知变更后的地址送达法律文书的，均视为有效送达，受送达人拒收或因其他原因被退回的，不影响送达的效力。</w:t>
      </w:r>
      <w:r/>
    </w:p>
    <w:p>
      <w:pPr>
        <w:ind w:firstLine="482"/>
        <w:spacing w:line="360" w:lineRule="auto"/>
        <w:rPr>
          <w:rFonts w:hint="eastAsia" w:ascii="宋体" w:hAnsi="宋体" w:eastAsia="宋体" w:cs="宋体"/>
          <w:b/>
          <w:color w:val="auto"/>
          <w:sz w:val="24"/>
          <w:szCs w:val="24"/>
          <w:highlight w:val="none"/>
        </w:rPr>
      </w:pPr>
      <w:r/>
      <w:bookmarkStart w:id="12" w:name="_Toc51257766"/>
      <w:r/>
      <w:bookmarkStart w:id="13" w:name="_Toc32454"/>
      <w:r/>
      <w:bookmarkStart w:id="14" w:name="_Toc18683"/>
      <w:r/>
      <w:bookmarkStart w:id="15" w:name="_Toc26807"/>
      <w:r/>
      <w:bookmarkStart w:id="16" w:name="_Toc30329"/>
      <w:r/>
      <w:bookmarkStart w:id="17" w:name="_Toc9497"/>
      <w:r>
        <w:rPr>
          <w:rFonts w:hint="eastAsia" w:ascii="宋体" w:hAnsi="宋体" w:eastAsia="宋体" w:cs="宋体"/>
          <w:b/>
          <w:color w:val="auto"/>
          <w:sz w:val="24"/>
          <w:szCs w:val="24"/>
          <w:highlight w:val="none"/>
        </w:rPr>
        <w:t xml:space="preserve">十四、争议的解决</w:t>
      </w:r>
      <w:bookmarkEnd w:id="12"/>
      <w:r/>
      <w:bookmarkEnd w:id="13"/>
      <w:r/>
      <w:bookmarkEnd w:id="14"/>
      <w:r/>
      <w:bookmarkEnd w:id="15"/>
      <w:r/>
      <w:bookmarkEnd w:id="16"/>
      <w:r/>
      <w:bookmarkEnd w:id="17"/>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与本合同有关的一切争议，双方应通过友好协商解决。如果经协商不能达成协议，可以向甲方所在地有管辖权的人民法院起诉。</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十五、合同生效及其他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1、本合同经甲乙双方签章之日起生效。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合同系指本文件及其附件中的所有部分，采购文件、成交的响应文件、成交通知书、供应商在招标过程中的澄清和承诺等为本合同不可缺少的组成部分。本合同履行过程中发生相关修改内容，须符合《中华人民共和国政府采购法》和相关法律法规规定；补充协议作为本合同不可分割的一部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3、本合同壹式陆份，甲乙双方各执贰份，招标代理机构执贰份，具有同等法律效力。</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4、本合同应按照中华人民共和国的现行法律进行解释。</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5、如非因乙方原因提前终止本合同的，甲方应按乙方已完成工作阶段或工作量支付费用。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    方(公章)：                      乙    方(公章)：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                   法定代表人/负责人：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或授权代理人                          或授权代理人：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                              （签字）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签订日期：</w:t>
      </w:r>
      <w:r/>
    </w:p>
    <w:p>
      <w:pPr>
        <w:pStyle w:val="913"/>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rPr>
          <w:rFonts w:hint="eastAsia" w:ascii="宋体" w:hAnsi="宋体" w:eastAsia="宋体" w:cs="宋体"/>
          <w:b/>
          <w:bCs/>
          <w:color w:val="auto"/>
          <w:sz w:val="24"/>
          <w:szCs w:val="24"/>
          <w:highlight w:val="none"/>
        </w:rPr>
        <w:t xml:space="preserve">第六章 评审方法及评审标准</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一、评审方法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1、本次评审方法采用综合评分法，即在满足磋商文件实质性要求前提下，按照磋商文件中规定的评审标准和各项因素进行综合评审，以评审总得分最高的供应商作为成交候选人。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综合评分的主要因素为：价格、人员配备、技术力量、项目方案、服务保障、供应商的综合情况、业绩、服务、承诺、对磋商文件的响应程度，以及相应的比重或者数值等。总分值为100分，评审因素及各比重如下：价格分值占总分值的比重为10%（权重），技术与质量及其它占90%（权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审时，磋商小组各成员应当独立对每个有效响应的文件进行评价、打分，然后汇总每个供应商每项评分因素的得分。将磋商小组各成员对响应文件的评审评分按算术平均法汇总，计算出每个供应商的得分（保留小数点后两位）。报价得分按文件规定的计算公式直接计算取得，技术、资质评审得分和价格标得分相加即为供应商的总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提供相同品牌产品且实质性响应的不同供应商参加同一合同项下磋商项目的，按一家供应商计算，评审后得分最高的同品牌供应商获得成交供应商推荐资格；评审得分相同的，由报价较低的供应商获得成交供应商推荐资格，如报价也相同，则采取随机抽取方式确定，其他同品牌供应商不作为成交供应商。非单一产品采购项目，多家供应商提供的核心产品（标注）品牌相同的，按上述规定处理。（如涉及）</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出现评审总得分最高的供应商有两个或两个以上的，以实际最后报价较低者优先作为成交供应商，如果最后报价也相同的，以提供优先采购产品最多的供应商优先中标（如属优先采购产品），否则由磋商小组组织以抽签方式确定成交供应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6、磋商小组对最后报价进行复核，报价以大写为准。</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二、</w:t>
      </w:r>
      <w:r>
        <w:rPr>
          <w:rFonts w:hint="eastAsia" w:ascii="宋体" w:hAnsi="宋体" w:eastAsia="宋体" w:cs="宋体"/>
          <w:b/>
          <w:bCs/>
          <w:color w:val="auto"/>
          <w:sz w:val="24"/>
          <w:szCs w:val="24"/>
          <w:highlight w:val="none"/>
        </w:rPr>
        <w:t xml:space="preserve">评分标准</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（一）价格得分（10分）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第一步：磋商报价低于或等于财政预算价格的，为有效磋商报价。超出财政预算的磋商报价文件为未实质性响应文件，不参与评审。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第二步：以满足采购文件实质性要求且响应价格最低的有效报价为评标基准价，其价格分为满分，其他有效报价的价格分统一按照下列公式计算（计算结果四舍五入保留两位小数）：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磋商报价得分=（磋商基准价/最后磋商报价）×价格权值×100%</w:t>
      </w:r>
      <w:r/>
    </w:p>
    <w:p>
      <w:pPr>
        <w:pStyle w:val="1092"/>
        <w:ind w:firstLine="510"/>
        <w:spacing w:line="360" w:lineRule="auto"/>
        <w:rPr>
          <w:rFonts w:hint="eastAsia" w:ascii="宋体" w:hAnsi="宋体" w:eastAsia="宋体" w:cs="宋体"/>
          <w:b/>
          <w:color w:val="auto"/>
          <w:spacing w:val="7"/>
          <w:highlight w:val="none"/>
        </w:rPr>
      </w:pPr>
      <w:r>
        <w:rPr>
          <w:rFonts w:hint="eastAsia" w:ascii="宋体" w:hAnsi="宋体" w:eastAsia="宋体" w:cs="宋体"/>
          <w:b/>
          <w:color w:val="auto"/>
          <w:spacing w:val="7"/>
          <w:highlight w:val="none"/>
        </w:rPr>
        <w:t xml:space="preserve">（二）项目技术方案（21分）</w:t>
      </w:r>
      <w:r/>
    </w:p>
    <w:p>
      <w:pPr>
        <w:pStyle w:val="1092"/>
        <w:ind w:firstLine="508"/>
        <w:spacing w:line="360" w:lineRule="auto"/>
        <w:rPr>
          <w:rFonts w:hint="eastAsia" w:ascii="宋体" w:hAnsi="宋体" w:eastAsia="宋体" w:cs="宋体"/>
          <w:bCs/>
          <w:color w:val="auto"/>
          <w:spacing w:val="7"/>
          <w:highlight w:val="none"/>
        </w:rPr>
      </w:pPr>
      <w:r>
        <w:rPr>
          <w:rFonts w:hint="eastAsia" w:ascii="宋体" w:hAnsi="宋体" w:eastAsia="宋体" w:cs="宋体"/>
          <w:bCs/>
          <w:color w:val="auto"/>
          <w:spacing w:val="7"/>
          <w:highlight w:val="none"/>
        </w:rPr>
        <w:t xml:space="preserve">1、项目整体理解（6分）</w:t>
      </w:r>
      <w:r/>
    </w:p>
    <w:p>
      <w:pPr>
        <w:pStyle w:val="1092"/>
        <w:ind w:firstLine="508"/>
        <w:spacing w:line="360" w:lineRule="auto"/>
        <w:rPr>
          <w:rFonts w:hint="eastAsia" w:ascii="宋体" w:hAnsi="宋体" w:eastAsia="宋体" w:cs="宋体"/>
          <w:bCs/>
          <w:color w:val="auto"/>
          <w:spacing w:val="7"/>
          <w:highlight w:val="none"/>
        </w:rPr>
      </w:pPr>
      <w:r>
        <w:rPr>
          <w:rFonts w:hint="eastAsia" w:ascii="宋体" w:hAnsi="宋体" w:eastAsia="宋体" w:cs="宋体"/>
          <w:bCs/>
          <w:color w:val="auto"/>
          <w:spacing w:val="7"/>
          <w:highlight w:val="none"/>
        </w:rPr>
        <w:t xml:space="preserve">根据投标人对本项目建设背景、项目目标任务、建设内容及需求的理解程度、方案完整度以及表述清晰程度进行综合评分。方案完全满足项目需求的得6分；基本满足项目需求的得4分；部分满足项目需求的得2分；不满足项目需求或未提供的不得分。</w:t>
      </w:r>
      <w:r/>
    </w:p>
    <w:p>
      <w:pPr>
        <w:pStyle w:val="1092"/>
        <w:ind w:firstLine="508"/>
        <w:spacing w:line="360" w:lineRule="auto"/>
        <w:rPr>
          <w:rFonts w:hint="eastAsia" w:ascii="宋体" w:hAnsi="宋体" w:eastAsia="宋体" w:cs="宋体"/>
          <w:bCs/>
          <w:color w:val="auto"/>
          <w:spacing w:val="7"/>
          <w:highlight w:val="none"/>
        </w:rPr>
      </w:pPr>
      <w:r>
        <w:rPr>
          <w:rFonts w:hint="eastAsia" w:ascii="宋体" w:hAnsi="宋体" w:eastAsia="宋体" w:cs="宋体"/>
          <w:bCs/>
          <w:color w:val="auto"/>
          <w:spacing w:val="7"/>
          <w:highlight w:val="none"/>
        </w:rPr>
        <w:t xml:space="preserve">2、建设方案的完整性、科学性和合理性比较（8分）</w:t>
      </w:r>
      <w:r/>
    </w:p>
    <w:p>
      <w:pPr>
        <w:pStyle w:val="1092"/>
        <w:ind w:firstLine="508"/>
        <w:spacing w:line="360" w:lineRule="auto"/>
        <w:rPr>
          <w:rFonts w:hint="eastAsia" w:ascii="宋体" w:hAnsi="宋体" w:eastAsia="宋体" w:cs="宋体"/>
          <w:bCs/>
          <w:color w:val="auto"/>
          <w:spacing w:val="7"/>
          <w:highlight w:val="none"/>
        </w:rPr>
      </w:pPr>
      <w:r>
        <w:rPr>
          <w:rFonts w:hint="eastAsia" w:ascii="宋体" w:hAnsi="宋体" w:eastAsia="宋体" w:cs="宋体"/>
          <w:bCs/>
          <w:color w:val="auto"/>
          <w:spacing w:val="7"/>
          <w:highlight w:val="none"/>
        </w:rPr>
        <w:t xml:space="preserve">对投标人提供的本项目建设方案的完整性、科学性和合理性进行比较，重点考察三维倾斜数据采集、模型建设与优化以及逻辑单体化；建（构）筑物三维结构化白模生产；地形图修补测、基础地理实体建设、影像的获取与处理等建设方案。方案完全满足项目需求的8分；基本满足项目需求的得5分；部分满足项目需求的得2分；不满足项目需求或未提供的不得分。</w:t>
      </w:r>
      <w:r/>
    </w:p>
    <w:p>
      <w:pPr>
        <w:pStyle w:val="1092"/>
        <w:ind w:firstLine="508"/>
        <w:spacing w:line="360" w:lineRule="auto"/>
        <w:rPr>
          <w:rFonts w:hint="eastAsia" w:ascii="宋体" w:hAnsi="宋体" w:eastAsia="宋体" w:cs="宋体"/>
          <w:bCs/>
          <w:color w:val="auto"/>
          <w:spacing w:val="7"/>
          <w:highlight w:val="none"/>
        </w:rPr>
      </w:pPr>
      <w:r>
        <w:rPr>
          <w:rFonts w:hint="eastAsia" w:ascii="宋体" w:hAnsi="宋体" w:eastAsia="宋体" w:cs="宋体"/>
          <w:bCs/>
          <w:color w:val="auto"/>
          <w:spacing w:val="7"/>
          <w:highlight w:val="none"/>
        </w:rPr>
        <w:t xml:space="preserve">3、项目重难点分析及合理化建议（4分）</w:t>
      </w:r>
      <w:r/>
    </w:p>
    <w:p>
      <w:pPr>
        <w:pStyle w:val="1092"/>
        <w:ind w:firstLine="508"/>
        <w:spacing w:line="360" w:lineRule="auto"/>
        <w:rPr>
          <w:rFonts w:hint="eastAsia" w:ascii="宋体" w:hAnsi="宋体" w:eastAsia="宋体" w:cs="宋体"/>
          <w:bCs/>
          <w:color w:val="auto"/>
          <w:spacing w:val="7"/>
          <w:highlight w:val="none"/>
        </w:rPr>
      </w:pPr>
      <w:r>
        <w:rPr>
          <w:rFonts w:hint="eastAsia" w:ascii="宋体" w:hAnsi="宋体" w:eastAsia="宋体" w:cs="宋体"/>
          <w:bCs/>
          <w:color w:val="auto"/>
          <w:spacing w:val="7"/>
          <w:highlight w:val="none"/>
        </w:rPr>
        <w:t xml:space="preserve">对投标人提供的针对本项目的重点难点分析及合理化建议方案进行综合评审。分析到位、建议合理的得4分；分析基本到位、建议基本合理的得2分；部分分析到位、部分建议合理的得1分；分析不到位、建议不合理的不得分。</w:t>
      </w:r>
      <w:r/>
    </w:p>
    <w:p>
      <w:pPr>
        <w:pStyle w:val="1092"/>
        <w:numPr>
          <w:ilvl w:val="0"/>
          <w:numId w:val="5"/>
        </w:numPr>
        <w:ind w:firstLine="508"/>
        <w:spacing w:line="360" w:lineRule="auto"/>
        <w:rPr>
          <w:rFonts w:hint="eastAsia" w:ascii="宋体" w:hAnsi="宋体" w:eastAsia="宋体" w:cs="宋体"/>
          <w:bCs/>
          <w:color w:val="auto"/>
          <w:spacing w:val="7"/>
          <w:highlight w:val="none"/>
        </w:rPr>
      </w:pPr>
      <w:r>
        <w:rPr>
          <w:rFonts w:hint="eastAsia" w:ascii="宋体" w:hAnsi="宋体" w:eastAsia="宋体" w:cs="宋体"/>
          <w:bCs/>
          <w:color w:val="auto"/>
          <w:spacing w:val="7"/>
          <w:highlight w:val="none"/>
        </w:rPr>
        <w:t xml:space="preserve">建设方案的创新性（3分）</w:t>
      </w:r>
      <w:r/>
    </w:p>
    <w:p>
      <w:pPr>
        <w:pStyle w:val="1092"/>
        <w:ind w:firstLine="508"/>
        <w:spacing w:line="360" w:lineRule="auto"/>
        <w:rPr>
          <w:rFonts w:hint="eastAsia" w:ascii="宋体" w:hAnsi="宋体" w:eastAsia="宋体" w:cs="宋体"/>
          <w:bCs/>
          <w:color w:val="auto"/>
          <w:spacing w:val="7"/>
          <w:highlight w:val="none"/>
        </w:rPr>
      </w:pPr>
      <w:r>
        <w:rPr>
          <w:rFonts w:hint="eastAsia" w:ascii="宋体" w:hAnsi="宋体" w:eastAsia="宋体" w:cs="宋体"/>
          <w:bCs/>
          <w:color w:val="auto"/>
          <w:spacing w:val="7"/>
          <w:highlight w:val="none"/>
        </w:rPr>
        <w:t xml:space="preserve">对投标人提供的建设方案的创新性进行比较，具有突出创新性的得3分；较具有创新性的得2分；部分具有创新性的得1分；不具有创新性的不得分。</w:t>
      </w:r>
      <w:r/>
    </w:p>
    <w:p>
      <w:pPr>
        <w:ind w:firstLine="510"/>
        <w:spacing w:line="360" w:lineRule="auto"/>
        <w:rPr>
          <w:rFonts w:hint="eastAsia" w:ascii="宋体" w:hAnsi="宋体" w:eastAsia="宋体" w:cs="宋体"/>
          <w:b/>
          <w:color w:val="auto"/>
          <w:spacing w:val="7"/>
          <w:sz w:val="24"/>
          <w:szCs w:val="24"/>
          <w:highlight w:val="none"/>
        </w:rPr>
      </w:pPr>
      <w:r>
        <w:rPr>
          <w:rFonts w:hint="eastAsia" w:ascii="宋体" w:hAnsi="宋体" w:eastAsia="宋体" w:cs="宋体"/>
          <w:b/>
          <w:color w:val="auto"/>
          <w:spacing w:val="7"/>
          <w:sz w:val="24"/>
          <w:szCs w:val="24"/>
          <w:highlight w:val="none"/>
        </w:rPr>
        <w:t xml:space="preserve">（三）项目组织管理措施（24分）</w:t>
      </w:r>
      <w:r/>
    </w:p>
    <w:p>
      <w:pPr>
        <w:pStyle w:val="1092"/>
        <w:ind w:firstLine="508"/>
        <w:spacing w:line="360" w:lineRule="auto"/>
        <w:rPr>
          <w:rFonts w:hint="eastAsia" w:ascii="宋体" w:hAnsi="宋体" w:eastAsia="宋体" w:cs="宋体"/>
          <w:bCs/>
          <w:color w:val="auto"/>
          <w:spacing w:val="7"/>
          <w:highlight w:val="none"/>
        </w:rPr>
      </w:pPr>
      <w:r>
        <w:rPr>
          <w:rFonts w:hint="eastAsia" w:ascii="宋体" w:hAnsi="宋体" w:eastAsia="宋体" w:cs="宋体"/>
          <w:bCs/>
          <w:color w:val="auto"/>
          <w:spacing w:val="7"/>
          <w:highlight w:val="none"/>
        </w:rPr>
        <w:t xml:space="preserve">1、组织管理（5分）</w:t>
      </w:r>
      <w:r/>
    </w:p>
    <w:p>
      <w:pPr>
        <w:pStyle w:val="1092"/>
        <w:ind w:firstLine="508"/>
        <w:spacing w:line="360" w:lineRule="auto"/>
        <w:rPr>
          <w:rFonts w:hint="eastAsia" w:ascii="宋体" w:hAnsi="宋体" w:eastAsia="宋体" w:cs="宋体"/>
          <w:bCs/>
          <w:color w:val="auto"/>
          <w:spacing w:val="7"/>
          <w:highlight w:val="none"/>
        </w:rPr>
      </w:pPr>
      <w:r>
        <w:rPr>
          <w:rFonts w:hint="eastAsia" w:ascii="宋体" w:hAnsi="宋体" w:eastAsia="宋体" w:cs="宋体"/>
          <w:bCs/>
          <w:color w:val="auto"/>
          <w:spacing w:val="7"/>
          <w:highlight w:val="none"/>
        </w:rPr>
        <w:t xml:space="preserve">根据投标人提供的管理制度进行综合评分。管理制度完全满足项目需求的得5分；基本满足项目需求的得3分；部分满足项目需求的得1分；不满足项目需求或未提供的不得分。</w:t>
      </w:r>
      <w:r/>
    </w:p>
    <w:p>
      <w:pPr>
        <w:pStyle w:val="1092"/>
        <w:ind w:firstLine="508"/>
        <w:spacing w:line="360" w:lineRule="auto"/>
        <w:rPr>
          <w:rFonts w:hint="eastAsia" w:ascii="宋体" w:hAnsi="宋体" w:eastAsia="宋体" w:cs="宋体"/>
          <w:bCs/>
          <w:color w:val="auto"/>
          <w:spacing w:val="7"/>
          <w:highlight w:val="none"/>
        </w:rPr>
      </w:pPr>
      <w:r>
        <w:rPr>
          <w:rFonts w:hint="eastAsia" w:ascii="宋体" w:hAnsi="宋体" w:eastAsia="宋体" w:cs="宋体"/>
          <w:bCs/>
          <w:color w:val="auto"/>
          <w:spacing w:val="7"/>
          <w:highlight w:val="none"/>
        </w:rPr>
        <w:t xml:space="preserve">2、质量保证（4分）</w:t>
      </w:r>
      <w:r/>
    </w:p>
    <w:p>
      <w:pPr>
        <w:pStyle w:val="1092"/>
        <w:ind w:firstLine="508"/>
        <w:spacing w:line="360" w:lineRule="auto"/>
        <w:rPr>
          <w:rFonts w:hint="eastAsia" w:ascii="宋体" w:hAnsi="宋体" w:eastAsia="宋体" w:cs="宋体"/>
          <w:bCs/>
          <w:color w:val="auto"/>
          <w:spacing w:val="7"/>
          <w:highlight w:val="none"/>
        </w:rPr>
      </w:pPr>
      <w:r>
        <w:rPr>
          <w:rFonts w:hint="eastAsia" w:ascii="宋体" w:hAnsi="宋体" w:eastAsia="宋体" w:cs="宋体"/>
          <w:bCs/>
          <w:color w:val="auto"/>
          <w:spacing w:val="7"/>
          <w:highlight w:val="none"/>
        </w:rPr>
        <w:t xml:space="preserve">根据投标人提供的质量保证方案，包括各作业流程的质量控制措施，质量管理、质量事故处理制度等情况综合评审。完全满足项目需求的得4分；基本满足项目需求的得2分；部分满足项目需求的得1分；不满足项目需求或未提供的不得分。</w:t>
      </w:r>
      <w:r/>
    </w:p>
    <w:p>
      <w:pPr>
        <w:pStyle w:val="1092"/>
        <w:ind w:firstLine="508"/>
        <w:spacing w:line="360" w:lineRule="auto"/>
        <w:rPr>
          <w:rFonts w:hint="eastAsia" w:ascii="宋体" w:hAnsi="宋体" w:eastAsia="宋体" w:cs="宋体"/>
          <w:bCs/>
          <w:color w:val="auto"/>
          <w:spacing w:val="7"/>
          <w:highlight w:val="none"/>
        </w:rPr>
      </w:pPr>
      <w:r>
        <w:rPr>
          <w:rFonts w:hint="eastAsia" w:ascii="宋体" w:hAnsi="宋体" w:eastAsia="宋体" w:cs="宋体"/>
          <w:bCs/>
          <w:color w:val="auto"/>
          <w:spacing w:val="7"/>
          <w:highlight w:val="none"/>
        </w:rPr>
        <w:t xml:space="preserve">3、保密管理制度（含监督机制、自我约束机制）（4分）</w:t>
      </w:r>
      <w:r/>
    </w:p>
    <w:p>
      <w:pPr>
        <w:pStyle w:val="1092"/>
        <w:ind w:firstLine="508"/>
        <w:spacing w:line="360" w:lineRule="auto"/>
        <w:rPr>
          <w:rFonts w:hint="eastAsia" w:ascii="宋体" w:hAnsi="宋体" w:eastAsia="宋体" w:cs="宋体"/>
          <w:bCs/>
          <w:color w:val="auto"/>
          <w:spacing w:val="7"/>
          <w:highlight w:val="none"/>
        </w:rPr>
      </w:pPr>
      <w:r>
        <w:rPr>
          <w:rFonts w:hint="eastAsia" w:ascii="宋体" w:hAnsi="宋体" w:eastAsia="宋体" w:cs="宋体"/>
          <w:bCs/>
          <w:color w:val="auto"/>
          <w:spacing w:val="7"/>
          <w:highlight w:val="none"/>
        </w:rPr>
        <w:t xml:space="preserve">根据投标人提供的保密管理制度进行综合评分。完全满足项目需求的得4分；基本满足项目需求的得2分；部分满足项目需求的得1分；不满足项目需求或未提供的不得分。</w:t>
      </w:r>
      <w:r/>
    </w:p>
    <w:p>
      <w:pPr>
        <w:pStyle w:val="1092"/>
        <w:ind w:firstLine="508"/>
        <w:spacing w:line="360" w:lineRule="auto"/>
        <w:rPr>
          <w:rFonts w:hint="eastAsia" w:ascii="宋体" w:hAnsi="宋体" w:eastAsia="宋体" w:cs="宋体"/>
          <w:bCs/>
          <w:color w:val="auto"/>
          <w:spacing w:val="7"/>
          <w:highlight w:val="none"/>
        </w:rPr>
      </w:pPr>
      <w:r>
        <w:rPr>
          <w:rFonts w:hint="eastAsia" w:ascii="宋体" w:hAnsi="宋体" w:eastAsia="宋体" w:cs="宋体"/>
          <w:bCs/>
          <w:color w:val="auto"/>
          <w:spacing w:val="7"/>
          <w:highlight w:val="none"/>
        </w:rPr>
        <w:t xml:space="preserve">4、项目进度安排及保障措施（4分）</w:t>
      </w:r>
      <w:r/>
    </w:p>
    <w:p>
      <w:pPr>
        <w:pStyle w:val="1092"/>
        <w:ind w:firstLine="508"/>
        <w:spacing w:line="360" w:lineRule="auto"/>
        <w:rPr>
          <w:rFonts w:hint="eastAsia" w:ascii="宋体" w:hAnsi="宋体" w:eastAsia="宋体" w:cs="宋体"/>
          <w:bCs/>
          <w:color w:val="auto"/>
          <w:spacing w:val="7"/>
          <w:highlight w:val="none"/>
        </w:rPr>
      </w:pPr>
      <w:r>
        <w:rPr>
          <w:rFonts w:hint="eastAsia" w:ascii="宋体" w:hAnsi="宋体" w:eastAsia="宋体" w:cs="宋体"/>
          <w:bCs/>
          <w:color w:val="auto"/>
          <w:spacing w:val="7"/>
          <w:highlight w:val="none"/>
        </w:rPr>
        <w:t xml:space="preserve">根据投标人提供的项目进度安排及保障措施进行评分。方案完全满足项目需求的得4分；基本满足项目需求的得2分；部分满足项目需求的得1分；不满足项目需求或未提供的不得分。</w:t>
      </w:r>
      <w:r/>
    </w:p>
    <w:p>
      <w:pPr>
        <w:pStyle w:val="1092"/>
        <w:ind w:firstLine="508"/>
        <w:spacing w:line="360" w:lineRule="auto"/>
        <w:rPr>
          <w:rFonts w:hint="eastAsia" w:ascii="宋体" w:hAnsi="宋体" w:eastAsia="宋体" w:cs="宋体"/>
          <w:bCs/>
          <w:color w:val="auto"/>
          <w:spacing w:val="7"/>
          <w:highlight w:val="none"/>
        </w:rPr>
      </w:pPr>
      <w:r>
        <w:rPr>
          <w:rFonts w:hint="eastAsia" w:ascii="宋体" w:hAnsi="宋体" w:eastAsia="宋体" w:cs="宋体"/>
          <w:bCs/>
          <w:color w:val="auto"/>
          <w:spacing w:val="7"/>
          <w:highlight w:val="none"/>
        </w:rPr>
        <w:t xml:space="preserve">5、安全管理方案（包括安全责任制度，突发事故应急预案与处理能力）（4分）</w:t>
      </w:r>
      <w:r/>
    </w:p>
    <w:p>
      <w:pPr>
        <w:pStyle w:val="1092"/>
        <w:ind w:firstLine="508"/>
        <w:spacing w:line="360" w:lineRule="auto"/>
        <w:rPr>
          <w:rFonts w:hint="eastAsia" w:ascii="宋体" w:hAnsi="宋体" w:eastAsia="宋体" w:cs="宋体"/>
          <w:bCs/>
          <w:color w:val="auto"/>
          <w:spacing w:val="7"/>
          <w:highlight w:val="none"/>
        </w:rPr>
      </w:pPr>
      <w:r>
        <w:rPr>
          <w:rFonts w:hint="eastAsia" w:ascii="宋体" w:hAnsi="宋体" w:eastAsia="宋体" w:cs="宋体"/>
          <w:bCs/>
          <w:color w:val="auto"/>
          <w:spacing w:val="7"/>
          <w:highlight w:val="none"/>
        </w:rPr>
        <w:t xml:space="preserve">根据投标人提供的安全管理方案进行综合评审。方案完全满足项目需求的得4分，基本满足项目需求的2分，部分满足项目需求的1分，不满足项目需求或未提供的不得分。</w:t>
      </w:r>
      <w:r/>
    </w:p>
    <w:p>
      <w:pPr>
        <w:pStyle w:val="1092"/>
        <w:ind w:firstLine="508"/>
        <w:spacing w:line="360" w:lineRule="auto"/>
        <w:rPr>
          <w:rFonts w:hint="eastAsia" w:ascii="宋体" w:hAnsi="宋体" w:eastAsia="宋体" w:cs="宋体"/>
          <w:bCs/>
          <w:color w:val="auto"/>
          <w:spacing w:val="7"/>
          <w:highlight w:val="none"/>
        </w:rPr>
      </w:pPr>
      <w:r>
        <w:rPr>
          <w:rFonts w:hint="eastAsia" w:ascii="宋体" w:hAnsi="宋体" w:eastAsia="宋体" w:cs="宋体"/>
          <w:bCs/>
          <w:color w:val="auto"/>
          <w:spacing w:val="7"/>
          <w:highlight w:val="none"/>
        </w:rPr>
        <w:t xml:space="preserve">6、售后服务及其他承诺（3分）</w:t>
      </w:r>
      <w:r/>
    </w:p>
    <w:p>
      <w:pPr>
        <w:pStyle w:val="1092"/>
        <w:ind w:firstLine="508"/>
        <w:spacing w:line="360" w:lineRule="auto"/>
        <w:rPr>
          <w:rFonts w:hint="eastAsia" w:ascii="宋体" w:hAnsi="宋体" w:eastAsia="宋体" w:cs="宋体"/>
          <w:bCs/>
          <w:color w:val="auto"/>
          <w:spacing w:val="7"/>
          <w:highlight w:val="none"/>
        </w:rPr>
      </w:pPr>
      <w:r>
        <w:rPr>
          <w:rFonts w:hint="eastAsia" w:ascii="宋体" w:hAnsi="宋体" w:eastAsia="宋体" w:cs="宋体"/>
          <w:bCs/>
          <w:color w:val="auto"/>
          <w:spacing w:val="7"/>
          <w:highlight w:val="none"/>
        </w:rPr>
        <w:t xml:space="preserve">根据投标人提供的售后服务保障体系、售后服务能力、售后服务方案情况进行综合评分。方案完全满足项目需求的得3分；基本满足项目需求的得2分；部分满足项目需求的得1分；不满足项目需求或未提供的不得分。</w:t>
      </w:r>
      <w:r/>
    </w:p>
    <w:p>
      <w:pPr>
        <w:pStyle w:val="1092"/>
        <w:ind w:firstLine="510"/>
        <w:spacing w:line="360" w:lineRule="auto"/>
        <w:rPr>
          <w:rFonts w:hint="eastAsia" w:ascii="宋体" w:hAnsi="宋体" w:eastAsia="宋体" w:cs="宋体"/>
          <w:b/>
          <w:color w:val="auto"/>
          <w:spacing w:val="7"/>
          <w:highlight w:val="none"/>
        </w:rPr>
      </w:pPr>
      <w:r>
        <w:rPr>
          <w:rFonts w:hint="eastAsia" w:ascii="宋体" w:hAnsi="宋体" w:eastAsia="宋体" w:cs="宋体"/>
          <w:b/>
          <w:color w:val="auto"/>
          <w:spacing w:val="7"/>
          <w:highlight w:val="none"/>
        </w:rPr>
        <w:t xml:space="preserve">（四）拟投入人员及设备配置（26分）</w:t>
      </w:r>
      <w:r/>
    </w:p>
    <w:p>
      <w:pPr>
        <w:pStyle w:val="1092"/>
        <w:ind w:firstLine="508"/>
        <w:spacing w:line="360" w:lineRule="auto"/>
        <w:rPr>
          <w:rFonts w:hint="eastAsia" w:ascii="宋体" w:hAnsi="宋体" w:eastAsia="宋体" w:cs="宋体"/>
          <w:bCs/>
          <w:color w:val="auto"/>
          <w:spacing w:val="7"/>
          <w:highlight w:val="none"/>
        </w:rPr>
      </w:pPr>
      <w:r>
        <w:rPr>
          <w:rFonts w:hint="eastAsia" w:ascii="宋体" w:hAnsi="宋体" w:eastAsia="宋体" w:cs="宋体"/>
          <w:bCs/>
          <w:color w:val="auto"/>
          <w:spacing w:val="7"/>
          <w:highlight w:val="none"/>
        </w:rPr>
        <w:t xml:space="preserve">1、拟投入项目负责人（8分）</w:t>
      </w:r>
      <w:r/>
    </w:p>
    <w:p>
      <w:pPr>
        <w:pStyle w:val="1092"/>
        <w:ind w:firstLine="508"/>
        <w:spacing w:line="360" w:lineRule="auto"/>
        <w:rPr>
          <w:rFonts w:hint="eastAsia" w:ascii="宋体" w:hAnsi="宋体" w:eastAsia="宋体" w:cs="宋体"/>
          <w:bCs/>
          <w:color w:val="auto"/>
          <w:spacing w:val="7"/>
          <w:highlight w:val="none"/>
        </w:rPr>
      </w:pPr>
      <w:r>
        <w:rPr>
          <w:rFonts w:hint="eastAsia" w:ascii="宋体" w:hAnsi="宋体" w:eastAsia="宋体" w:cs="宋体"/>
          <w:bCs/>
          <w:color w:val="auto"/>
          <w:spacing w:val="7"/>
          <w:highlight w:val="none"/>
        </w:rPr>
        <w:t xml:space="preserve">（1）项目负责人具备研究员或正高级工程师职称的，得2分；副高职称得1分；中级及以下不得分；本项最高得2分。</w:t>
      </w:r>
      <w:r/>
    </w:p>
    <w:p>
      <w:pPr>
        <w:pStyle w:val="1092"/>
        <w:ind w:firstLine="508"/>
        <w:spacing w:line="360" w:lineRule="auto"/>
        <w:rPr>
          <w:rFonts w:hint="eastAsia" w:ascii="宋体" w:hAnsi="宋体" w:eastAsia="宋体" w:cs="宋体"/>
          <w:bCs/>
          <w:color w:val="auto"/>
          <w:spacing w:val="7"/>
          <w:highlight w:val="none"/>
        </w:rPr>
      </w:pPr>
      <w:r>
        <w:rPr>
          <w:rFonts w:hint="eastAsia" w:ascii="宋体" w:hAnsi="宋体" w:eastAsia="宋体" w:cs="宋体"/>
          <w:bCs/>
          <w:color w:val="auto"/>
          <w:spacing w:val="7"/>
          <w:highlight w:val="none"/>
        </w:rPr>
        <w:t xml:space="preserve">（2）项目负责人具备注册测绘师证、测绘主管部门颁发的涉密成果管理人员岗位培训合格证书（或在有效期内的测绘单位核心涉密人员保密培训证书）或保密主管部门颁发的涉密人员上岗培训证书、PMP项目管理师的，有一项得1分，本项最高得3分。 </w:t>
      </w:r>
      <w:r/>
    </w:p>
    <w:p>
      <w:pPr>
        <w:pStyle w:val="1092"/>
        <w:ind w:firstLine="508"/>
        <w:spacing w:line="360" w:lineRule="auto"/>
        <w:rPr>
          <w:rFonts w:hint="eastAsia" w:ascii="宋体" w:hAnsi="宋体" w:eastAsia="宋体" w:cs="宋体"/>
          <w:bCs/>
          <w:color w:val="auto"/>
          <w:spacing w:val="7"/>
          <w:highlight w:val="none"/>
        </w:rPr>
      </w:pPr>
      <w:r>
        <w:rPr>
          <w:rFonts w:hint="eastAsia" w:ascii="宋体" w:hAnsi="宋体" w:eastAsia="宋体" w:cs="宋体"/>
          <w:bCs/>
          <w:color w:val="auto"/>
          <w:spacing w:val="7"/>
          <w:highlight w:val="none"/>
        </w:rPr>
        <w:t xml:space="preserve">（3）项目负责人参与的类似项目中，个人获得省级奖项的有一项得1.5分，个人获得国家级奖项的有一项得3分，同一项目按最高等级计分，本项最高得3分。</w:t>
      </w:r>
      <w:r/>
    </w:p>
    <w:p>
      <w:pPr>
        <w:pStyle w:val="1092"/>
        <w:ind w:firstLine="510"/>
        <w:spacing w:line="360" w:lineRule="auto"/>
        <w:rPr>
          <w:rFonts w:hint="eastAsia" w:ascii="宋体" w:hAnsi="宋体" w:eastAsia="宋体" w:cs="宋体"/>
          <w:b/>
          <w:bCs/>
          <w:color w:val="auto"/>
          <w:spacing w:val="7"/>
          <w:highlight w:val="none"/>
        </w:rPr>
      </w:pPr>
      <w:r>
        <w:rPr>
          <w:rFonts w:hint="eastAsia" w:ascii="宋体" w:hAnsi="宋体" w:eastAsia="宋体" w:cs="宋体"/>
          <w:b/>
          <w:bCs/>
          <w:color w:val="auto"/>
          <w:spacing w:val="7"/>
          <w:highlight w:val="none"/>
        </w:rPr>
        <w:t xml:space="preserve">注：请在投标文件中提供相关证明材料的复印件及投标人为其缴纳近的最近一期社保证明材料复印件，不提供不得分。</w:t>
      </w:r>
      <w:r/>
    </w:p>
    <w:p>
      <w:pPr>
        <w:pStyle w:val="1092"/>
        <w:ind w:firstLine="508"/>
        <w:spacing w:line="360" w:lineRule="auto"/>
        <w:rPr>
          <w:rFonts w:hint="eastAsia" w:ascii="宋体" w:hAnsi="宋体" w:eastAsia="宋体" w:cs="宋体"/>
          <w:bCs/>
          <w:color w:val="auto"/>
          <w:spacing w:val="7"/>
          <w:highlight w:val="none"/>
        </w:rPr>
      </w:pPr>
      <w:r>
        <w:rPr>
          <w:rFonts w:hint="eastAsia" w:ascii="宋体" w:hAnsi="宋体" w:eastAsia="宋体" w:cs="宋体"/>
          <w:bCs/>
          <w:color w:val="auto"/>
          <w:spacing w:val="7"/>
          <w:highlight w:val="none"/>
        </w:rPr>
        <w:t xml:space="preserve">2、拟投入技术负责人（5分）</w:t>
      </w:r>
      <w:r/>
    </w:p>
    <w:p>
      <w:pPr>
        <w:pStyle w:val="1092"/>
        <w:ind w:firstLine="508"/>
        <w:spacing w:line="360" w:lineRule="auto"/>
        <w:rPr>
          <w:rFonts w:hint="eastAsia" w:ascii="宋体" w:hAnsi="宋体" w:eastAsia="宋体" w:cs="宋体"/>
          <w:bCs/>
          <w:color w:val="auto"/>
          <w:spacing w:val="7"/>
          <w:highlight w:val="none"/>
        </w:rPr>
      </w:pPr>
      <w:r>
        <w:rPr>
          <w:rFonts w:hint="eastAsia" w:ascii="宋体" w:hAnsi="宋体" w:eastAsia="宋体" w:cs="宋体"/>
          <w:bCs/>
          <w:color w:val="auto"/>
          <w:spacing w:val="7"/>
          <w:highlight w:val="none"/>
        </w:rPr>
        <w:t xml:space="preserve">（1）技术负责人具备研究员或正高级工程师职称的，得2分；副高职称得1分；中级及以下不得分；本项最高得2分。</w:t>
      </w:r>
      <w:r/>
    </w:p>
    <w:p>
      <w:pPr>
        <w:pStyle w:val="1092"/>
        <w:ind w:firstLine="508"/>
        <w:spacing w:line="360" w:lineRule="auto"/>
        <w:rPr>
          <w:rFonts w:hint="eastAsia" w:ascii="宋体" w:hAnsi="宋体" w:eastAsia="宋体" w:cs="宋体"/>
          <w:bCs/>
          <w:color w:val="auto"/>
          <w:spacing w:val="7"/>
          <w:highlight w:val="none"/>
        </w:rPr>
      </w:pPr>
      <w:r>
        <w:rPr>
          <w:rFonts w:hint="eastAsia" w:ascii="宋体" w:hAnsi="宋体" w:eastAsia="宋体" w:cs="宋体"/>
          <w:bCs/>
          <w:color w:val="auto"/>
          <w:spacing w:val="7"/>
          <w:highlight w:val="none"/>
        </w:rPr>
        <w:t xml:space="preserve">（2）技术负责人具备注册测绘师资格、测绘主管部门颁发的涉密成果管理人员岗位培训合格证书（或在有效期内的测绘单位核心涉密人员保密培训证书）或保密主管部门颁发的涉密人员上岗培训证书、测绘地理信息质量技术培训证书的，有一项得1分，本项最高得3分。</w:t>
      </w:r>
      <w:r/>
    </w:p>
    <w:p>
      <w:pPr>
        <w:pStyle w:val="1092"/>
        <w:ind w:firstLine="510"/>
        <w:spacing w:line="360" w:lineRule="auto"/>
        <w:rPr>
          <w:rFonts w:hint="eastAsia" w:ascii="宋体" w:hAnsi="宋体" w:eastAsia="宋体" w:cs="宋体"/>
          <w:b/>
          <w:bCs/>
          <w:color w:val="auto"/>
          <w:spacing w:val="7"/>
          <w:highlight w:val="none"/>
        </w:rPr>
      </w:pPr>
      <w:r>
        <w:rPr>
          <w:rFonts w:hint="eastAsia" w:ascii="宋体" w:hAnsi="宋体" w:eastAsia="宋体" w:cs="宋体"/>
          <w:b/>
          <w:bCs/>
          <w:color w:val="auto"/>
          <w:spacing w:val="7"/>
          <w:highlight w:val="none"/>
        </w:rPr>
        <w:t xml:space="preserve">注：请在投标文件中提供相关证明材料的复印件及投标人为其缴纳近的最近一期社保证明材料复印件，不提供不得分。</w:t>
      </w:r>
      <w:r/>
    </w:p>
    <w:p>
      <w:pPr>
        <w:pStyle w:val="1092"/>
        <w:ind w:firstLine="508"/>
        <w:spacing w:line="360" w:lineRule="auto"/>
        <w:rPr>
          <w:rFonts w:hint="eastAsia" w:ascii="宋体" w:hAnsi="宋体" w:eastAsia="宋体" w:cs="宋体"/>
          <w:bCs/>
          <w:color w:val="auto"/>
          <w:spacing w:val="7"/>
          <w:highlight w:val="none"/>
        </w:rPr>
      </w:pPr>
      <w:r>
        <w:rPr>
          <w:rFonts w:hint="eastAsia" w:ascii="宋体" w:hAnsi="宋体" w:eastAsia="宋体" w:cs="宋体"/>
          <w:bCs/>
          <w:color w:val="auto"/>
          <w:spacing w:val="7"/>
          <w:highlight w:val="none"/>
        </w:rPr>
        <w:t xml:space="preserve">3、拟投入其他技术人员（不含项目负责人、技术负责人）（8分）</w:t>
      </w:r>
      <w:r/>
    </w:p>
    <w:p>
      <w:pPr>
        <w:pStyle w:val="1092"/>
        <w:ind w:firstLine="508"/>
        <w:spacing w:line="360" w:lineRule="auto"/>
        <w:rPr>
          <w:rFonts w:hint="eastAsia" w:ascii="宋体" w:hAnsi="宋体" w:eastAsia="宋体" w:cs="宋体"/>
          <w:bCs/>
          <w:color w:val="auto"/>
          <w:spacing w:val="7"/>
          <w:highlight w:val="none"/>
        </w:rPr>
      </w:pPr>
      <w:r>
        <w:rPr>
          <w:rFonts w:hint="eastAsia" w:ascii="宋体" w:hAnsi="宋体" w:eastAsia="宋体" w:cs="宋体"/>
          <w:bCs/>
          <w:color w:val="auto"/>
          <w:spacing w:val="7"/>
          <w:highlight w:val="none"/>
        </w:rPr>
        <w:t xml:space="preserve">同时具有高级及以上工程师职称和注册测绘资格师证书的，</w:t>
      </w:r>
      <w:r>
        <w:rPr>
          <w:rFonts w:ascii="宋体" w:hAnsi="宋体" w:eastAsia="宋体" w:cs="宋体"/>
          <w:bCs/>
          <w:color w:val="auto"/>
          <w:spacing w:val="7"/>
          <w:highlight w:val="none"/>
        </w:rPr>
        <w:t xml:space="preserve">超过8人（不含）得8分，5-8人（含）得5分，2-5人（含）及以下的得3分，没有不得分</w:t>
      </w:r>
      <w:r>
        <w:rPr>
          <w:rFonts w:hint="eastAsia" w:ascii="宋体" w:hAnsi="宋体" w:eastAsia="宋体" w:cs="宋体"/>
          <w:bCs/>
          <w:color w:val="auto"/>
          <w:spacing w:val="7"/>
          <w:highlight w:val="none"/>
        </w:rPr>
        <w:t xml:space="preserve">。</w:t>
      </w:r>
      <w:r/>
    </w:p>
    <w:p>
      <w:pPr>
        <w:pStyle w:val="1092"/>
        <w:ind w:firstLine="510"/>
        <w:spacing w:line="360" w:lineRule="auto"/>
        <w:rPr>
          <w:rFonts w:hint="eastAsia" w:ascii="宋体" w:hAnsi="宋体" w:eastAsia="宋体" w:cs="宋体"/>
          <w:b/>
          <w:bCs/>
          <w:color w:val="auto"/>
          <w:spacing w:val="7"/>
          <w:highlight w:val="none"/>
        </w:rPr>
      </w:pPr>
      <w:r>
        <w:rPr>
          <w:rFonts w:hint="eastAsia" w:ascii="宋体" w:hAnsi="宋体" w:eastAsia="宋体" w:cs="宋体"/>
          <w:b/>
          <w:bCs/>
          <w:color w:val="auto"/>
          <w:spacing w:val="7"/>
          <w:highlight w:val="none"/>
        </w:rPr>
        <w:t xml:space="preserve">注：1、同一人员不重复计分。2、请在投标文件中提供相关证明材料的复印件及投标人为其缴纳近的最近一期社保证明材料复印件，不提供不得分。</w:t>
      </w:r>
      <w:r/>
    </w:p>
    <w:p>
      <w:pPr>
        <w:pStyle w:val="1092"/>
        <w:ind w:firstLine="508"/>
        <w:spacing w:line="360" w:lineRule="auto"/>
        <w:rPr>
          <w:rFonts w:hint="eastAsia" w:ascii="宋体" w:hAnsi="宋体" w:eastAsia="宋体" w:cs="宋体"/>
          <w:bCs/>
          <w:color w:val="auto"/>
          <w:spacing w:val="7"/>
          <w:highlight w:val="none"/>
        </w:rPr>
      </w:pPr>
      <w:r>
        <w:rPr>
          <w:rFonts w:hint="eastAsia" w:ascii="宋体" w:hAnsi="宋体" w:eastAsia="宋体" w:cs="宋体"/>
          <w:bCs/>
          <w:color w:val="auto"/>
          <w:spacing w:val="7"/>
          <w:highlight w:val="none"/>
        </w:rPr>
        <w:t xml:space="preserve">4、拟投入项目组人员无人机驾驶员合格证书（2分）</w:t>
      </w:r>
      <w:r/>
    </w:p>
    <w:p>
      <w:pPr>
        <w:pStyle w:val="1092"/>
        <w:ind w:firstLine="508"/>
        <w:spacing w:line="360" w:lineRule="auto"/>
        <w:rPr>
          <w:rFonts w:hint="eastAsia" w:ascii="宋体" w:hAnsi="宋体" w:eastAsia="宋体" w:cs="宋体"/>
          <w:bCs/>
          <w:color w:val="auto"/>
          <w:spacing w:val="7"/>
          <w:highlight w:val="none"/>
        </w:rPr>
      </w:pPr>
      <w:r>
        <w:rPr>
          <w:rFonts w:hint="eastAsia" w:ascii="宋体" w:hAnsi="宋体" w:eastAsia="宋体" w:cs="宋体"/>
          <w:bCs/>
          <w:color w:val="auto"/>
          <w:spacing w:val="7"/>
          <w:highlight w:val="none"/>
        </w:rPr>
        <w:t xml:space="preserve">拟投入本项目的其他技术人员（项目负责人、技术负责人除外）具有民用无人机驾驶员合格证书有一个得0.5分，本项最高得2分。</w:t>
      </w:r>
      <w:r/>
    </w:p>
    <w:p>
      <w:pPr>
        <w:pStyle w:val="1092"/>
        <w:ind w:firstLine="510"/>
        <w:spacing w:line="360" w:lineRule="auto"/>
        <w:rPr>
          <w:rFonts w:hint="eastAsia" w:ascii="宋体" w:hAnsi="宋体" w:eastAsia="宋体" w:cs="宋体"/>
          <w:b/>
          <w:bCs/>
          <w:color w:val="auto"/>
          <w:spacing w:val="7"/>
          <w:highlight w:val="none"/>
        </w:rPr>
      </w:pPr>
      <w:r>
        <w:rPr>
          <w:rFonts w:hint="eastAsia" w:ascii="宋体" w:hAnsi="宋体" w:eastAsia="宋体" w:cs="宋体"/>
          <w:b/>
          <w:bCs/>
          <w:color w:val="auto"/>
          <w:spacing w:val="7"/>
          <w:highlight w:val="none"/>
        </w:rPr>
        <w:t xml:space="preserve">注：请在投标文件中提供相关证明材料的复印件及投标人为其缴纳近的最近一期社保证明材料复印件，不提供不得分</w:t>
      </w:r>
      <w:r/>
    </w:p>
    <w:p>
      <w:pPr>
        <w:pStyle w:val="1092"/>
        <w:ind w:firstLine="508"/>
        <w:spacing w:line="360" w:lineRule="auto"/>
        <w:rPr>
          <w:rFonts w:hint="eastAsia" w:ascii="宋体" w:hAnsi="宋体" w:eastAsia="宋体" w:cs="宋体"/>
          <w:bCs/>
          <w:color w:val="auto"/>
          <w:spacing w:val="7"/>
          <w:highlight w:val="none"/>
        </w:rPr>
      </w:pPr>
      <w:r>
        <w:rPr>
          <w:rFonts w:hint="eastAsia" w:ascii="宋体" w:hAnsi="宋体" w:eastAsia="宋体" w:cs="宋体"/>
          <w:bCs/>
          <w:color w:val="auto"/>
          <w:spacing w:val="7"/>
          <w:highlight w:val="none"/>
        </w:rPr>
        <w:t xml:space="preserve">5、拟投入本项目的硬件及仪器设备（3分）</w:t>
      </w:r>
      <w:r/>
    </w:p>
    <w:p>
      <w:pPr>
        <w:pStyle w:val="1092"/>
        <w:ind w:firstLine="508"/>
        <w:spacing w:line="360" w:lineRule="auto"/>
        <w:rPr>
          <w:rFonts w:hint="eastAsia" w:ascii="宋体" w:hAnsi="宋体" w:eastAsia="宋体" w:cs="宋体"/>
          <w:bCs/>
          <w:color w:val="auto"/>
          <w:spacing w:val="7"/>
          <w:highlight w:val="none"/>
        </w:rPr>
      </w:pPr>
      <w:r>
        <w:rPr>
          <w:rFonts w:hint="eastAsia" w:ascii="宋体" w:hAnsi="宋体" w:eastAsia="宋体" w:cs="宋体"/>
          <w:bCs/>
          <w:color w:val="auto"/>
          <w:spacing w:val="7"/>
          <w:highlight w:val="none"/>
        </w:rPr>
        <w:t xml:space="preserve">（1）拟投入本项目的设备比较，包括但不限于无人机航测设备、GNSS定位仪、全站仪等，设备配备齐全、配置性能高得2分，设备类型基本齐全、配置性能一般得1分；设备类型不齐全或配备性能较差的不得分。</w:t>
      </w:r>
      <w:r/>
    </w:p>
    <w:p>
      <w:pPr>
        <w:pStyle w:val="1092"/>
        <w:ind w:firstLine="508"/>
        <w:spacing w:line="360" w:lineRule="auto"/>
        <w:rPr>
          <w:rFonts w:hint="eastAsia" w:ascii="宋体" w:hAnsi="宋体" w:eastAsia="宋体" w:cs="宋体"/>
          <w:bCs/>
          <w:color w:val="auto"/>
          <w:spacing w:val="7"/>
          <w:highlight w:val="none"/>
        </w:rPr>
      </w:pPr>
      <w:r>
        <w:rPr>
          <w:rFonts w:hint="eastAsia" w:ascii="宋体" w:hAnsi="宋体" w:eastAsia="宋体" w:cs="宋体"/>
          <w:bCs/>
          <w:color w:val="auto"/>
          <w:spacing w:val="7"/>
          <w:highlight w:val="none"/>
        </w:rPr>
        <w:t xml:space="preserve">（2）投入遥感影像数据集群处理环境得1分。</w:t>
      </w:r>
      <w:r/>
    </w:p>
    <w:p>
      <w:pPr>
        <w:pStyle w:val="1092"/>
        <w:ind w:firstLine="510"/>
        <w:spacing w:line="360" w:lineRule="auto"/>
        <w:rPr>
          <w:rFonts w:hint="eastAsia" w:ascii="宋体" w:hAnsi="宋体" w:eastAsia="宋体" w:cs="宋体"/>
          <w:b/>
          <w:bCs/>
          <w:color w:val="auto"/>
          <w:spacing w:val="7"/>
          <w:highlight w:val="none"/>
        </w:rPr>
      </w:pPr>
      <w:r>
        <w:rPr>
          <w:rFonts w:hint="eastAsia" w:ascii="宋体" w:hAnsi="宋体" w:eastAsia="宋体" w:cs="宋体"/>
          <w:b/>
          <w:bCs/>
          <w:color w:val="auto"/>
          <w:spacing w:val="7"/>
          <w:highlight w:val="none"/>
        </w:rPr>
        <w:t xml:space="preserve">注：</w:t>
      </w:r>
      <w:r>
        <w:rPr>
          <w:rFonts w:hint="eastAsia" w:ascii="宋体" w:hAnsi="宋体" w:eastAsia="宋体" w:cs="宋体"/>
          <w:b/>
          <w:bCs/>
          <w:color w:val="auto"/>
          <w:spacing w:val="7"/>
          <w:highlight w:val="none"/>
          <w:lang w:val="en-US" w:eastAsia="zh-CN"/>
        </w:rPr>
        <w:t xml:space="preserve">上述（1）-（2）项</w:t>
      </w:r>
      <w:r>
        <w:rPr>
          <w:rFonts w:hint="eastAsia" w:ascii="宋体" w:hAnsi="宋体" w:eastAsia="宋体" w:cs="宋体"/>
          <w:b/>
          <w:bCs/>
          <w:color w:val="auto"/>
          <w:spacing w:val="7"/>
          <w:highlight w:val="none"/>
        </w:rPr>
        <w:t xml:space="preserve">请在投标文件中提供设备采购合同复印件或购买发票复印件，如为租赁的应提供租赁合同复印件，不提供不得分。</w:t>
      </w:r>
      <w:r/>
    </w:p>
    <w:p>
      <w:pPr>
        <w:pStyle w:val="1092"/>
        <w:ind w:firstLine="510"/>
        <w:spacing w:line="360" w:lineRule="auto"/>
        <w:rPr>
          <w:rFonts w:hint="eastAsia" w:ascii="宋体" w:hAnsi="宋体" w:eastAsia="宋体" w:cs="宋体"/>
          <w:b/>
          <w:color w:val="auto"/>
          <w:spacing w:val="7"/>
          <w:highlight w:val="none"/>
        </w:rPr>
      </w:pPr>
      <w:r>
        <w:rPr>
          <w:rFonts w:hint="eastAsia" w:ascii="宋体" w:hAnsi="宋体" w:eastAsia="宋体" w:cs="宋体"/>
          <w:b/>
          <w:color w:val="auto"/>
          <w:spacing w:val="7"/>
          <w:highlight w:val="none"/>
        </w:rPr>
        <w:t xml:space="preserve">（五）履约能力（19分）</w:t>
      </w:r>
      <w:r/>
    </w:p>
    <w:p>
      <w:pPr>
        <w:ind w:firstLine="508"/>
        <w:spacing w:line="360" w:lineRule="auto"/>
        <w:rPr>
          <w:rFonts w:hint="eastAsia" w:ascii="宋体" w:hAnsi="宋体" w:eastAsia="宋体" w:cs="宋体"/>
          <w:bCs/>
          <w:color w:val="auto"/>
          <w:spacing w:val="7"/>
          <w:sz w:val="24"/>
          <w:szCs w:val="24"/>
          <w:highlight w:val="none"/>
        </w:rPr>
      </w:pPr>
      <w:r>
        <w:rPr>
          <w:rFonts w:hint="eastAsia" w:ascii="宋体" w:hAnsi="宋体" w:eastAsia="宋体" w:cs="宋体"/>
          <w:bCs/>
          <w:color w:val="auto"/>
          <w:spacing w:val="7"/>
          <w:sz w:val="24"/>
          <w:szCs w:val="24"/>
          <w:highlight w:val="none"/>
        </w:rPr>
        <w:t xml:space="preserve">1、投标人具备有效期内的ISO质量管理体系认证、职业健康安全管理体系认证、信息安全管理体系认证、环境管理体系认证证书的，有一项得1分，本项最高得4分。</w:t>
      </w:r>
      <w:r/>
    </w:p>
    <w:p>
      <w:pPr>
        <w:pStyle w:val="1092"/>
        <w:ind w:firstLine="508"/>
        <w:spacing w:line="360" w:lineRule="auto"/>
        <w:rPr>
          <w:rFonts w:hint="eastAsia" w:ascii="宋体" w:hAnsi="宋体" w:eastAsia="宋体" w:cs="宋体"/>
          <w:bCs/>
          <w:color w:val="auto"/>
          <w:spacing w:val="7"/>
          <w:highlight w:val="none"/>
        </w:rPr>
      </w:pPr>
      <w:r>
        <w:rPr>
          <w:rFonts w:hint="eastAsia" w:ascii="宋体" w:hAnsi="宋体" w:eastAsia="宋体" w:cs="宋体"/>
          <w:bCs/>
          <w:color w:val="auto"/>
          <w:spacing w:val="7"/>
          <w:highlight w:val="none"/>
        </w:rPr>
        <w:t xml:space="preserve">2、2023年1月1日以来，投标人承担过类似于本次采购项目业绩（如：实景三维建设、大比例尺地形图测绘等）的，有一个得2分，本项最高得8分。（同一类型的业绩不得超过两个，超过两个以两个计，日期以合同签订时间为准，投标文件中提供清晰的合同复印件并加盖公章，不提供不得分）</w:t>
      </w:r>
      <w:r/>
    </w:p>
    <w:p>
      <w:pPr>
        <w:ind w:firstLine="508"/>
        <w:spacing w:line="360" w:lineRule="auto"/>
        <w:rPr>
          <w:rFonts w:hint="eastAsia" w:ascii="宋体" w:hAnsi="宋体" w:eastAsia="宋体" w:cs="宋体"/>
          <w:bCs/>
          <w:color w:val="auto"/>
          <w:spacing w:val="7"/>
          <w:sz w:val="24"/>
          <w:szCs w:val="24"/>
          <w:highlight w:val="none"/>
        </w:rPr>
      </w:pPr>
      <w:r>
        <w:rPr>
          <w:rFonts w:hint="eastAsia" w:ascii="宋体" w:hAnsi="宋体" w:eastAsia="宋体" w:cs="宋体"/>
          <w:bCs/>
          <w:color w:val="auto"/>
          <w:spacing w:val="7"/>
          <w:sz w:val="24"/>
          <w:szCs w:val="24"/>
          <w:highlight w:val="none"/>
        </w:rPr>
        <w:t xml:space="preserve">3、2023年1月1日以来，投标人获得过与本项目建设内容相关行业国家级奖项的每有1个1分；省级奖项每有1个得0.5分；本项限评5项，本项最高得5分。（以获奖证书发证时间或发文时间为准, 同一项目按最高等级的奖项计分，该项评分中提供的奖项与上述项目负责人提供奖项如为同一项目则不重复计分）</w:t>
      </w:r>
      <w:r/>
    </w:p>
    <w:p>
      <w:pPr>
        <w:ind w:firstLine="508"/>
        <w:spacing w:line="360" w:lineRule="auto"/>
        <w:rPr>
          <w:rFonts w:hint="eastAsia" w:ascii="宋体" w:hAnsi="宋体" w:eastAsia="宋体" w:cs="宋体"/>
          <w:bCs/>
          <w:color w:val="auto"/>
          <w:spacing w:val="7"/>
          <w:sz w:val="24"/>
          <w:szCs w:val="24"/>
          <w:highlight w:val="none"/>
        </w:rPr>
      </w:pPr>
      <w:r>
        <w:rPr>
          <w:rFonts w:hint="eastAsia" w:ascii="宋体" w:hAnsi="宋体" w:eastAsia="宋体" w:cs="宋体"/>
          <w:bCs/>
          <w:color w:val="auto"/>
          <w:spacing w:val="7"/>
          <w:sz w:val="24"/>
          <w:szCs w:val="24"/>
          <w:highlight w:val="none"/>
        </w:rPr>
        <w:t xml:space="preserve">4、2023年1月1日以来，投标人获得过与本项目建设内容相关的省级及以上创新成果、优秀案例的，有1个得1分，本项最高得2分。（以获奖证书发证时间或发文时间为准, 同一项目按最高等级的奖项计分，同一项目在履约能力中的第3、第4点不可重复计分，</w:t>
      </w:r>
      <w:r>
        <w:rPr>
          <w:rFonts w:ascii="宋体" w:hAnsi="宋体" w:eastAsia="宋体" w:cs="宋体"/>
          <w:bCs/>
          <w:color w:val="auto"/>
          <w:spacing w:val="7"/>
          <w:sz w:val="24"/>
          <w:szCs w:val="24"/>
          <w:highlight w:val="none"/>
        </w:rPr>
        <w:t xml:space="preserve">该项评分中提供的奖项与上述项目负责人提供奖项如为同一项目则不重复计分</w:t>
      </w:r>
      <w:r>
        <w:rPr>
          <w:rFonts w:hint="eastAsia" w:ascii="宋体" w:hAnsi="宋体" w:eastAsia="宋体" w:cs="宋体"/>
          <w:bCs/>
          <w:color w:val="auto"/>
          <w:spacing w:val="7"/>
          <w:sz w:val="24"/>
          <w:szCs w:val="24"/>
          <w:highlight w:val="none"/>
        </w:rPr>
        <w:t xml:space="preserve">）</w:t>
      </w:r>
      <w:r/>
    </w:p>
    <w:p>
      <w:pPr>
        <w:ind w:firstLine="508"/>
        <w:spacing w:line="360" w:lineRule="auto"/>
        <w:rPr>
          <w:rFonts w:hint="eastAsia" w:ascii="宋体" w:hAnsi="宋体" w:eastAsia="宋体" w:cs="宋体"/>
          <w:bCs/>
          <w:color w:val="auto"/>
          <w:spacing w:val="7"/>
          <w:sz w:val="24"/>
          <w:szCs w:val="24"/>
          <w:highlight w:val="none"/>
        </w:rPr>
      </w:pPr>
      <w:r>
        <w:rPr>
          <w:rFonts w:hint="eastAsia" w:ascii="宋体" w:hAnsi="宋体" w:eastAsia="宋体" w:cs="宋体"/>
          <w:bCs/>
          <w:color w:val="auto"/>
          <w:spacing w:val="7"/>
          <w:sz w:val="24"/>
          <w:szCs w:val="24"/>
          <w:highlight w:val="none"/>
        </w:rPr>
      </w:r>
      <w:r/>
    </w:p>
    <w:p>
      <w:pPr>
        <w:ind w:firstLine="482"/>
        <w:spacing w:line="360" w:lineRule="auto"/>
        <w:rPr>
          <w:rStyle w:val="1083"/>
          <w:rFonts w:hint="eastAsia" w:ascii="宋体" w:hAnsi="宋体" w:eastAsia="宋体" w:cs="宋体"/>
          <w:b/>
          <w:color w:val="auto"/>
          <w:sz w:val="24"/>
          <w:szCs w:val="24"/>
          <w:highlight w:val="none"/>
        </w:rPr>
      </w:pPr>
      <w:r>
        <w:rPr>
          <w:rStyle w:val="1083"/>
          <w:rFonts w:hint="eastAsia" w:ascii="宋体" w:hAnsi="宋体" w:eastAsia="宋体" w:cs="宋体"/>
          <w:b/>
          <w:color w:val="auto"/>
          <w:sz w:val="24"/>
          <w:szCs w:val="24"/>
          <w:highlight w:val="none"/>
        </w:rPr>
        <w:t xml:space="preserve">三、政府采购政策： </w:t>
      </w:r>
      <w:r/>
    </w:p>
    <w:p>
      <w:pPr>
        <w:ind w:firstLine="480"/>
        <w:spacing w:line="360" w:lineRule="auto"/>
        <w:tabs>
          <w:tab w:val="left" w:pos="28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1、针对中小型企业的评审加分：</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（1）本项目不专门面向中小企业采购。</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（3）本项目采购标的对应的中小企业划型标准规定所属行业为：</w:t>
      </w:r>
      <w:r>
        <w:rPr>
          <w:rFonts w:hint="eastAsia" w:ascii="宋体" w:hAnsi="宋体" w:eastAsia="宋体" w:cs="宋体"/>
          <w:b/>
          <w:bCs/>
          <w:color w:val="auto"/>
          <w:sz w:val="24"/>
          <w:szCs w:val="24"/>
          <w:highlight w:val="none"/>
          <w:u w:val="single"/>
          <w:shd w:val="clear" w:color="auto" w:fill="ffffff"/>
        </w:rPr>
        <w:t xml:space="preserve">其他未列明行业</w:t>
      </w:r>
      <w:r>
        <w:rPr>
          <w:rFonts w:hint="eastAsia" w:ascii="宋体" w:hAnsi="宋体" w:eastAsia="宋体" w:cs="宋体"/>
          <w:b/>
          <w:bCs/>
          <w:color w:val="auto"/>
          <w:sz w:val="24"/>
          <w:szCs w:val="24"/>
          <w:highlight w:val="none"/>
          <w:u w:val="singl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（4）中小企业参加政府采购活动，应当出具《政府采购促进中小企业发展管理办法》附件规定《中小企业声明函》，</w:t>
      </w:r>
      <w:r>
        <w:rPr>
          <w:rFonts w:hint="eastAsia" w:ascii="宋体" w:hAnsi="宋体" w:eastAsia="宋体" w:cs="宋体"/>
          <w:color w:val="auto"/>
          <w:sz w:val="24"/>
          <w:szCs w:val="24"/>
          <w:highlight w:val="none"/>
        </w:rPr>
        <w:t xml:space="preserve">对其报价给予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的扣除，</w:t>
      </w:r>
      <w:r>
        <w:rPr>
          <w:rFonts w:hint="eastAsia" w:ascii="宋体" w:hAnsi="宋体" w:eastAsia="宋体" w:cs="宋体"/>
          <w:color w:val="auto"/>
          <w:sz w:val="24"/>
          <w:szCs w:val="24"/>
          <w:highlight w:val="none"/>
        </w:rPr>
        <w:t xml:space="preserve">扣除后的价格参与价格评审</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否则不得享受相关中小企业扶持政策。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在货物采购项目中，供应商提供的货物既有中小企业制造货物，也有大型企业制造货物的，不享受《政府采购促进中小企业发展管理办法》规定的中小企业扶持政策。若供应商提供的《中小企业声明函》为虚假声明则视同提供虚假材料，按政府采购相关规定处理并报请政府监管部门给予行政处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未按本项目采购标的对应的中小企业划型标准规定所属行业承诺的《中小企业声明函》为无效《中小企业声明函》。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3、针对监狱企业的评审加分：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根据财政部、司法部《关于政府采购支持监狱企业发展有关问题的通知》（财库〔2014〕68号）的规定，对属于监狱企业的供应商给予评审加分：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对其报价给予20％的扣除，</w:t>
      </w:r>
      <w:r>
        <w:rPr>
          <w:rFonts w:hint="eastAsia" w:ascii="宋体" w:hAnsi="宋体" w:eastAsia="宋体" w:cs="宋体"/>
          <w:color w:val="auto"/>
          <w:sz w:val="24"/>
          <w:szCs w:val="24"/>
          <w:highlight w:val="none"/>
        </w:rPr>
        <w:t xml:space="preserve">扣除后的价格参与价格评审</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4、针对残疾人福利性单位的评审加分：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根据财政部、民政部、中国残疾人联合会《关于促进残疾人就业政府采购政策的通知》（财库〔2017〕141号）</w:t>
      </w:r>
      <w:r>
        <w:rPr>
          <w:rFonts w:hint="eastAsia" w:ascii="宋体" w:hAnsi="宋体" w:eastAsia="宋体" w:cs="宋体"/>
          <w:bCs/>
          <w:color w:val="auto"/>
          <w:sz w:val="24"/>
          <w:szCs w:val="24"/>
          <w:highlight w:val="none"/>
        </w:rPr>
        <w:t xml:space="preserve">的规定</w:t>
      </w:r>
      <w:r>
        <w:rPr>
          <w:rFonts w:hint="eastAsia" w:ascii="宋体" w:hAnsi="宋体" w:eastAsia="宋体" w:cs="宋体"/>
          <w:color w:val="auto"/>
          <w:sz w:val="24"/>
          <w:szCs w:val="24"/>
          <w:highlight w:val="none"/>
        </w:rPr>
        <w:t xml:space="preserve">，对属于残疾人福利性单位的供应商给予评审加分：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根据供应商提供的《残疾人福利性单位声明函》对其报价给予20％的扣除，扣除后的价格参与价格评审。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（1）供应商对上述声明的真实性负责，若供应商提供的《残疾人福利性单位声明函》与事实不符的，依照《政府采购法》第七十七条第一款的规定追究法律责任。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（2）供应商为残疾人福利性单位的，采购代理机构将随中标结果同时公告其《残疾人福利性单位声明函》，接受社会监督。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5、上述针对中小型企业、监狱企业和残疾人福利性单位的评审加分政策不重复享受。</w:t>
      </w:r>
      <w:r/>
    </w:p>
    <w:p>
      <w:pPr>
        <w:ind w:firstLine="480"/>
        <w:jc w:val="right"/>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（全文完）</w:t>
      </w:r>
      <w:r/>
    </w:p>
    <w:sectPr>
      <w:footerReference w:type="default" r:id="rId13"/>
      <w:footnotePr/>
      <w:endnotePr/>
      <w:type w:val="nextPage"/>
      <w:pgSz w:w="11906" w:h="16838" w:orient="portrait"/>
      <w:pgMar w:top="1134" w:right="1134" w:bottom="1134" w:left="1134" w:header="851" w:footer="56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微软雅黑">
    <w:panose1 w:val="020B0503020204020204"/>
  </w:font>
  <w:font w:name="Batang">
    <w:panose1 w:val="02010600040101010101"/>
  </w:font>
  <w:font w:name="Courier New">
    <w:panose1 w:val="02070309020205020404"/>
  </w:font>
  <w:font w:name="方正仿宋简体">
    <w:panose1 w:val="020B0503020202020204"/>
  </w:font>
  <w:font w:name="Tahoma">
    <w:panose1 w:val="020B0604030504040204"/>
  </w:font>
  <w:font w:name="Verdana">
    <w:panose1 w:val="020B0604030504040204"/>
  </w:font>
  <w:font w:name="仿宋_GB2312">
    <w:panose1 w:val="02010609060101010101"/>
  </w:font>
  <w:font w:name="黑体">
    <w:panose1 w:val="02010609060101010101"/>
  </w:font>
  <w:font w:name="Tms Rmn">
    <w:panose1 w:val="020B0503020202020204"/>
  </w:font>
  <w:font w:name="楷体_GB2312">
    <w:panose1 w:val="02010609060101010101"/>
  </w:font>
  <w:font w:name="Arial Unicode MS">
    <w:panose1 w:val="020B0604020202020204"/>
  </w:font>
  <w:font w:name="Arial">
    <w:panose1 w:val="020B0604020202020204"/>
  </w:font>
  <w:font w:name="创艺简仿宋">
    <w:panose1 w:val="020B0503020202020204"/>
  </w:font>
  <w:font w:name="SimSun">
    <w:panose1 w:val="02010600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30"/>
                          </w:pPr>
                          <w:r>
                            <w:fldChar w:fldCharType="begin"/>
                          </w:r>
                          <w:r>
                            <w:instrText xml:space="preserve"> PAGE  \* MERGEFORMAT </w:instrText>
                          </w:r>
                          <w:r>
                            <w:fldChar w:fldCharType="separate"/>
                          </w:r>
                          <w:r>
                            <w:t xml:space="preserve">31</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30"/>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ind w:right="360"/>
      <w:tabs>
        <w:tab w:val="clear" w:pos="4153" w:leader="none"/>
        <w:tab w:val="center" w:pos="4819"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30"/>
                          </w:pPr>
                          <w:r>
                            <w:fldChar w:fldCharType="begin"/>
                          </w:r>
                          <w:r>
                            <w:instrText xml:space="preserve"> PAGE  \* MERGEFORMAT </w:instrText>
                          </w:r>
                          <w:r>
                            <w:fldChar w:fldCharType="separate"/>
                          </w:r>
                          <w:r>
                            <w:t xml:space="preserve">39</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30"/>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left"/>
      <w:rPr>
        <w:rFonts w:hint="eastAsia" w:ascii="宋体" w:hAnsi="宋体" w:cs="宋体"/>
      </w:rPr>
    </w:pPr>
    <w:r>
      <w:rPr>
        <w:rFonts w:hint="eastAsia" w:ascii="宋体" w:hAnsi="宋体" w:cs="宋体"/>
      </w:rPr>
      <w:t xml:space="preserve">苏州正杰招投标咨询服务有限公司采购文件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23"/>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16"/>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2">
    <w:name w:val="Heading 1 Char"/>
    <w:basedOn w:val="903"/>
    <w:link w:val="894"/>
    <w:uiPriority w:val="9"/>
    <w:rPr>
      <w:rFonts w:ascii="Arial" w:hAnsi="Arial" w:eastAsia="Arial" w:cs="Arial"/>
      <w:sz w:val="40"/>
      <w:szCs w:val="40"/>
    </w:rPr>
  </w:style>
  <w:style w:type="character" w:styleId="743">
    <w:name w:val="Heading 2 Char"/>
    <w:basedOn w:val="903"/>
    <w:link w:val="895"/>
    <w:uiPriority w:val="9"/>
    <w:rPr>
      <w:rFonts w:ascii="Arial" w:hAnsi="Arial" w:eastAsia="Arial" w:cs="Arial"/>
      <w:sz w:val="34"/>
    </w:rPr>
  </w:style>
  <w:style w:type="character" w:styleId="744">
    <w:name w:val="Heading 3 Char"/>
    <w:basedOn w:val="903"/>
    <w:link w:val="896"/>
    <w:uiPriority w:val="9"/>
    <w:rPr>
      <w:rFonts w:ascii="Arial" w:hAnsi="Arial" w:eastAsia="Arial" w:cs="Arial"/>
      <w:sz w:val="30"/>
      <w:szCs w:val="30"/>
    </w:rPr>
  </w:style>
  <w:style w:type="character" w:styleId="745">
    <w:name w:val="Heading 4 Char"/>
    <w:basedOn w:val="903"/>
    <w:link w:val="897"/>
    <w:uiPriority w:val="9"/>
    <w:rPr>
      <w:rFonts w:ascii="Arial" w:hAnsi="Arial" w:eastAsia="Arial" w:cs="Arial"/>
      <w:b/>
      <w:bCs/>
      <w:sz w:val="26"/>
      <w:szCs w:val="26"/>
    </w:rPr>
  </w:style>
  <w:style w:type="character" w:styleId="746">
    <w:name w:val="Heading 5 Char"/>
    <w:basedOn w:val="903"/>
    <w:link w:val="898"/>
    <w:uiPriority w:val="9"/>
    <w:rPr>
      <w:rFonts w:ascii="Arial" w:hAnsi="Arial" w:eastAsia="Arial" w:cs="Arial"/>
      <w:b/>
      <w:bCs/>
      <w:sz w:val="24"/>
      <w:szCs w:val="24"/>
    </w:rPr>
  </w:style>
  <w:style w:type="character" w:styleId="747">
    <w:name w:val="Heading 6 Char"/>
    <w:basedOn w:val="903"/>
    <w:link w:val="899"/>
    <w:uiPriority w:val="9"/>
    <w:rPr>
      <w:rFonts w:ascii="Arial" w:hAnsi="Arial" w:eastAsia="Arial" w:cs="Arial"/>
      <w:b/>
      <w:bCs/>
      <w:sz w:val="22"/>
      <w:szCs w:val="22"/>
    </w:rPr>
  </w:style>
  <w:style w:type="character" w:styleId="748">
    <w:name w:val="Heading 7 Char"/>
    <w:basedOn w:val="903"/>
    <w:link w:val="900"/>
    <w:uiPriority w:val="9"/>
    <w:rPr>
      <w:rFonts w:ascii="Arial" w:hAnsi="Arial" w:eastAsia="Arial" w:cs="Arial"/>
      <w:b/>
      <w:bCs/>
      <w:i/>
      <w:iCs/>
      <w:sz w:val="22"/>
      <w:szCs w:val="22"/>
    </w:rPr>
  </w:style>
  <w:style w:type="character" w:styleId="749">
    <w:name w:val="Heading 8 Char"/>
    <w:basedOn w:val="903"/>
    <w:link w:val="901"/>
    <w:uiPriority w:val="9"/>
    <w:rPr>
      <w:rFonts w:ascii="Arial" w:hAnsi="Arial" w:eastAsia="Arial" w:cs="Arial"/>
      <w:i/>
      <w:iCs/>
      <w:sz w:val="22"/>
      <w:szCs w:val="22"/>
    </w:rPr>
  </w:style>
  <w:style w:type="character" w:styleId="750">
    <w:name w:val="Heading 9 Char"/>
    <w:basedOn w:val="903"/>
    <w:link w:val="902"/>
    <w:uiPriority w:val="9"/>
    <w:rPr>
      <w:rFonts w:ascii="Arial" w:hAnsi="Arial" w:eastAsia="Arial" w:cs="Arial"/>
      <w:i/>
      <w:iCs/>
      <w:sz w:val="21"/>
      <w:szCs w:val="21"/>
    </w:rPr>
  </w:style>
  <w:style w:type="paragraph" w:styleId="751">
    <w:name w:val="Title"/>
    <w:basedOn w:val="893"/>
    <w:next w:val="893"/>
    <w:link w:val="752"/>
    <w:uiPriority w:val="10"/>
    <w:qFormat/>
    <w:pPr>
      <w:contextualSpacing/>
      <w:spacing w:before="300" w:after="200"/>
    </w:pPr>
    <w:rPr>
      <w:sz w:val="48"/>
      <w:szCs w:val="48"/>
    </w:rPr>
  </w:style>
  <w:style w:type="character" w:styleId="752">
    <w:name w:val="Title Char"/>
    <w:basedOn w:val="903"/>
    <w:link w:val="751"/>
    <w:uiPriority w:val="10"/>
    <w:rPr>
      <w:sz w:val="48"/>
      <w:szCs w:val="48"/>
    </w:rPr>
  </w:style>
  <w:style w:type="paragraph" w:styleId="753">
    <w:name w:val="Subtitle"/>
    <w:basedOn w:val="893"/>
    <w:next w:val="893"/>
    <w:link w:val="754"/>
    <w:uiPriority w:val="11"/>
    <w:qFormat/>
    <w:pPr>
      <w:spacing w:before="200" w:after="200"/>
    </w:pPr>
    <w:rPr>
      <w:sz w:val="24"/>
      <w:szCs w:val="24"/>
    </w:rPr>
  </w:style>
  <w:style w:type="character" w:styleId="754">
    <w:name w:val="Subtitle Char"/>
    <w:basedOn w:val="903"/>
    <w:link w:val="753"/>
    <w:uiPriority w:val="11"/>
    <w:rPr>
      <w:sz w:val="24"/>
      <w:szCs w:val="24"/>
    </w:rPr>
  </w:style>
  <w:style w:type="paragraph" w:styleId="755">
    <w:name w:val="Quote"/>
    <w:basedOn w:val="893"/>
    <w:next w:val="893"/>
    <w:link w:val="756"/>
    <w:uiPriority w:val="29"/>
    <w:qFormat/>
    <w:pPr>
      <w:ind w:left="720" w:right="720"/>
    </w:pPr>
    <w:rPr>
      <w:i/>
    </w:rPr>
  </w:style>
  <w:style w:type="character" w:styleId="756">
    <w:name w:val="Quote Char"/>
    <w:link w:val="755"/>
    <w:uiPriority w:val="29"/>
    <w:rPr>
      <w:i/>
    </w:rPr>
  </w:style>
  <w:style w:type="paragraph" w:styleId="757">
    <w:name w:val="Intense Quote"/>
    <w:basedOn w:val="893"/>
    <w:next w:val="893"/>
    <w:link w:val="7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name w:val="Intense Quote Char"/>
    <w:link w:val="757"/>
    <w:uiPriority w:val="30"/>
    <w:rPr>
      <w:i/>
    </w:rPr>
  </w:style>
  <w:style w:type="character" w:styleId="759">
    <w:name w:val="Header Char"/>
    <w:basedOn w:val="903"/>
    <w:link w:val="931"/>
    <w:uiPriority w:val="99"/>
  </w:style>
  <w:style w:type="character" w:styleId="760">
    <w:name w:val="Footer Char"/>
    <w:basedOn w:val="903"/>
    <w:link w:val="930"/>
    <w:uiPriority w:val="99"/>
  </w:style>
  <w:style w:type="paragraph" w:styleId="761">
    <w:name w:val="Caption"/>
    <w:basedOn w:val="893"/>
    <w:next w:val="893"/>
    <w:uiPriority w:val="35"/>
    <w:semiHidden/>
    <w:unhideWhenUsed/>
    <w:qFormat/>
    <w:pPr>
      <w:spacing w:line="276" w:lineRule="auto"/>
    </w:pPr>
    <w:rPr>
      <w:b/>
      <w:bCs/>
      <w:color w:val="4f81bd" w:themeColor="accent1"/>
      <w:sz w:val="18"/>
      <w:szCs w:val="18"/>
    </w:rPr>
  </w:style>
  <w:style w:type="character" w:styleId="762">
    <w:name w:val="Caption Char"/>
    <w:basedOn w:val="761"/>
    <w:link w:val="930"/>
    <w:uiPriority w:val="99"/>
  </w:style>
  <w:style w:type="table" w:styleId="763">
    <w:name w:val="Table Grid Light"/>
    <w:basedOn w:val="9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4">
    <w:name w:val="Plain Table 1"/>
    <w:basedOn w:val="9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2"/>
    <w:basedOn w:val="9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3"/>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name w:val="Plain Table 4"/>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name w:val="Plain Table 5"/>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9">
    <w:name w:val="Grid Table 1 Light"/>
    <w:basedOn w:val="9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0">
    <w:name w:val="Grid Table 1 Light - Accent 1"/>
    <w:basedOn w:val="9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1">
    <w:name w:val="Grid Table 1 Light - Accent 2"/>
    <w:basedOn w:val="9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2">
    <w:name w:val="Grid Table 1 Light - Accent 3"/>
    <w:basedOn w:val="9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3">
    <w:name w:val="Grid Table 1 Light - Accent 4"/>
    <w:basedOn w:val="9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4">
    <w:name w:val="Grid Table 1 Light - Accent 5"/>
    <w:basedOn w:val="9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5">
    <w:name w:val="Grid Table 1 Light - Accent 6"/>
    <w:basedOn w:val="9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6">
    <w:name w:val="Grid Table 2"/>
    <w:basedOn w:val="9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7">
    <w:name w:val="Grid Table 2 - Accent 1"/>
    <w:basedOn w:val="9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8">
    <w:name w:val="Grid Table 2 - Accent 2"/>
    <w:basedOn w:val="9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2 - Accent 3"/>
    <w:basedOn w:val="9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2 - Accent 4"/>
    <w:basedOn w:val="9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2 - Accent 5"/>
    <w:basedOn w:val="9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2">
    <w:name w:val="Grid Table 2 - Accent 6"/>
    <w:basedOn w:val="9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3">
    <w:name w:val="Grid Table 3"/>
    <w:basedOn w:val="9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1"/>
    <w:basedOn w:val="9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2"/>
    <w:basedOn w:val="9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3"/>
    <w:basedOn w:val="9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4"/>
    <w:basedOn w:val="9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5"/>
    <w:basedOn w:val="9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6"/>
    <w:basedOn w:val="9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4"/>
    <w:basedOn w:val="9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name w:val="Grid Table 4 - Accent 1"/>
    <w:basedOn w:val="90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2">
    <w:name w:val="Grid Table 4 - Accent 2"/>
    <w:basedOn w:val="90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3">
    <w:name w:val="Grid Table 4 - Accent 3"/>
    <w:basedOn w:val="90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4">
    <w:name w:val="Grid Table 4 - Accent 4"/>
    <w:basedOn w:val="90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5">
    <w:name w:val="Grid Table 4 - Accent 5"/>
    <w:basedOn w:val="90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6">
    <w:name w:val="Grid Table 4 - Accent 6"/>
    <w:basedOn w:val="90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7">
    <w:name w:val="Grid Table 5 Dark"/>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8">
    <w:name w:val="Grid Table 5 Dark- Accent 1"/>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9">
    <w:name w:val="Grid Table 5 Dark - Accent 2"/>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0">
    <w:name w:val="Grid Table 5 Dark - Accent 3"/>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1">
    <w:name w:val="Grid Table 5 Dark- Accent 4"/>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2">
    <w:name w:val="Grid Table 5 Dark - Accent 5"/>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3">
    <w:name w:val="Grid Table 5 Dark - Accent 6"/>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4">
    <w:name w:val="Grid Table 6 Colorful"/>
    <w:basedOn w:val="9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5">
    <w:name w:val="Grid Table 6 Colorful - Accent 1"/>
    <w:basedOn w:val="90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6">
    <w:name w:val="Grid Table 6 Colorful - Accent 2"/>
    <w:basedOn w:val="9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7">
    <w:name w:val="Grid Table 6 Colorful - Accent 3"/>
    <w:basedOn w:val="90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8">
    <w:name w:val="Grid Table 6 Colorful - Accent 4"/>
    <w:basedOn w:val="9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9">
    <w:name w:val="Grid Table 6 Colorful - Accent 5"/>
    <w:basedOn w:val="90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0">
    <w:name w:val="Grid Table 6 Colorful - Accent 6"/>
    <w:basedOn w:val="90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1">
    <w:name w:val="Grid Table 7 Colorful"/>
    <w:basedOn w:val="9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2">
    <w:name w:val="Grid Table 7 Colorful - Accent 1"/>
    <w:basedOn w:val="90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3">
    <w:name w:val="Grid Table 7 Colorful - Accent 2"/>
    <w:basedOn w:val="90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4">
    <w:name w:val="Grid Table 7 Colorful - Accent 3"/>
    <w:basedOn w:val="90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5">
    <w:name w:val="Grid Table 7 Colorful - Accent 4"/>
    <w:basedOn w:val="90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6">
    <w:name w:val="Grid Table 7 Colorful - Accent 5"/>
    <w:basedOn w:val="90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7">
    <w:name w:val="Grid Table 7 Colorful - Accent 6"/>
    <w:basedOn w:val="90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8">
    <w:name w:val="List Table 1 Light"/>
    <w:basedOn w:val="9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name w:val="List Table 1 Light - Accent 1"/>
    <w:basedOn w:val="90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0">
    <w:name w:val="List Table 1 Light - Accent 2"/>
    <w:basedOn w:val="90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1">
    <w:name w:val="List Table 1 Light - Accent 3"/>
    <w:basedOn w:val="90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2">
    <w:name w:val="List Table 1 Light - Accent 4"/>
    <w:basedOn w:val="90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3">
    <w:name w:val="List Table 1 Light - Accent 5"/>
    <w:basedOn w:val="90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4">
    <w:name w:val="List Table 1 Light - Accent 6"/>
    <w:basedOn w:val="90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5">
    <w:name w:val="List Table 2"/>
    <w:basedOn w:val="9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6">
    <w:name w:val="List Table 2 - Accent 1"/>
    <w:basedOn w:val="90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7">
    <w:name w:val="List Table 2 - Accent 2"/>
    <w:basedOn w:val="90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8">
    <w:name w:val="List Table 2 - Accent 3"/>
    <w:basedOn w:val="90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9">
    <w:name w:val="List Table 2 - Accent 4"/>
    <w:basedOn w:val="90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0">
    <w:name w:val="List Table 2 - Accent 5"/>
    <w:basedOn w:val="90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1">
    <w:name w:val="List Table 2 - Accent 6"/>
    <w:basedOn w:val="90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2">
    <w:name w:val="List Table 3"/>
    <w:basedOn w:val="9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3 - Accent 1"/>
    <w:basedOn w:val="90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3 - Accent 2"/>
    <w:basedOn w:val="9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5">
    <w:name w:val="List Table 3 - Accent 3"/>
    <w:basedOn w:val="90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6">
    <w:name w:val="List Table 3 - Accent 4"/>
    <w:basedOn w:val="9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7">
    <w:name w:val="List Table 3 - Accent 5"/>
    <w:basedOn w:val="90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8">
    <w:name w:val="List Table 3 - Accent 6"/>
    <w:basedOn w:val="90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9">
    <w:name w:val="List Table 4"/>
    <w:basedOn w:val="9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4 - Accent 1"/>
    <w:basedOn w:val="90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1">
    <w:name w:val="List Table 4 - Accent 2"/>
    <w:basedOn w:val="90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2">
    <w:name w:val="List Table 4 - Accent 3"/>
    <w:basedOn w:val="90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3">
    <w:name w:val="List Table 4 - Accent 4"/>
    <w:basedOn w:val="90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4">
    <w:name w:val="List Table 4 - Accent 5"/>
    <w:basedOn w:val="90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5">
    <w:name w:val="List Table 4 - Accent 6"/>
    <w:basedOn w:val="90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6">
    <w:name w:val="List Table 5 Dark"/>
    <w:basedOn w:val="9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1"/>
    <w:basedOn w:val="90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2"/>
    <w:basedOn w:val="90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3"/>
    <w:basedOn w:val="90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4"/>
    <w:basedOn w:val="90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5"/>
    <w:basedOn w:val="90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6"/>
    <w:basedOn w:val="90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6 Colorful"/>
    <w:basedOn w:val="9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4">
    <w:name w:val="List Table 6 Colorful - Accent 1"/>
    <w:basedOn w:val="90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5">
    <w:name w:val="List Table 6 Colorful - Accent 2"/>
    <w:basedOn w:val="90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6">
    <w:name w:val="List Table 6 Colorful - Accent 3"/>
    <w:basedOn w:val="90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7">
    <w:name w:val="List Table 6 Colorful - Accent 4"/>
    <w:basedOn w:val="90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8">
    <w:name w:val="List Table 6 Colorful - Accent 5"/>
    <w:basedOn w:val="90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9">
    <w:name w:val="List Table 6 Colorful - Accent 6"/>
    <w:basedOn w:val="90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0">
    <w:name w:val="List Table 7 Colorful"/>
    <w:basedOn w:val="9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1">
    <w:name w:val="List Table 7 Colorful - Accent 1"/>
    <w:basedOn w:val="90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2">
    <w:name w:val="List Table 7 Colorful - Accent 2"/>
    <w:basedOn w:val="90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3">
    <w:name w:val="List Table 7 Colorful - Accent 3"/>
    <w:basedOn w:val="90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4">
    <w:name w:val="List Table 7 Colorful - Accent 4"/>
    <w:basedOn w:val="90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5">
    <w:name w:val="List Table 7 Colorful - Accent 5"/>
    <w:basedOn w:val="90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6">
    <w:name w:val="List Table 7 Colorful - Accent 6"/>
    <w:basedOn w:val="90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7">
    <w:name w:val="Lined - Accent"/>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Lined - Accent 1"/>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Lined - Accent 2"/>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Lined - Accent 3"/>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Lined - Accent 4"/>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Lined - Accent 5"/>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Lined - Accent 6"/>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amp; Lined - Accent"/>
    <w:basedOn w:val="90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5">
    <w:name w:val="Bordered &amp; Lined - Accent 1"/>
    <w:basedOn w:val="90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6">
    <w:name w:val="Bordered &amp; Lined - Accent 2"/>
    <w:basedOn w:val="90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7">
    <w:name w:val="Bordered &amp; Lined - Accent 3"/>
    <w:basedOn w:val="90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8">
    <w:name w:val="Bordered &amp; Lined - Accent 4"/>
    <w:basedOn w:val="90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9">
    <w:name w:val="Bordered &amp; Lined - Accent 5"/>
    <w:basedOn w:val="90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0">
    <w:name w:val="Bordered &amp; Lined - Accent 6"/>
    <w:basedOn w:val="90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1">
    <w:name w:val="Bordered"/>
    <w:basedOn w:val="90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2">
    <w:name w:val="Bordered - Accent 1"/>
    <w:basedOn w:val="9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3">
    <w:name w:val="Bordered - Accent 2"/>
    <w:basedOn w:val="9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4">
    <w:name w:val="Bordered - Accent 3"/>
    <w:basedOn w:val="9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5">
    <w:name w:val="Bordered - Accent 4"/>
    <w:basedOn w:val="9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6">
    <w:name w:val="Bordered - Accent 5"/>
    <w:basedOn w:val="9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7">
    <w:name w:val="Bordered - Accent 6"/>
    <w:basedOn w:val="9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8">
    <w:name w:val="Footnote Text Char"/>
    <w:link w:val="937"/>
    <w:uiPriority w:val="99"/>
    <w:rPr>
      <w:sz w:val="18"/>
    </w:rPr>
  </w:style>
  <w:style w:type="paragraph" w:styleId="889">
    <w:name w:val="endnote text"/>
    <w:basedOn w:val="893"/>
    <w:link w:val="890"/>
    <w:uiPriority w:val="99"/>
    <w:semiHidden/>
    <w:unhideWhenUsed/>
    <w:pPr>
      <w:spacing w:after="0" w:line="240" w:lineRule="auto"/>
    </w:pPr>
    <w:rPr>
      <w:sz w:val="20"/>
    </w:rPr>
  </w:style>
  <w:style w:type="character" w:styleId="890">
    <w:name w:val="Endnote Text Char"/>
    <w:link w:val="889"/>
    <w:uiPriority w:val="99"/>
    <w:rPr>
      <w:sz w:val="20"/>
    </w:rPr>
  </w:style>
  <w:style w:type="character" w:styleId="891">
    <w:name w:val="endnote reference"/>
    <w:basedOn w:val="903"/>
    <w:uiPriority w:val="99"/>
    <w:semiHidden/>
    <w:unhideWhenUsed/>
    <w:rPr>
      <w:vertAlign w:val="superscript"/>
    </w:rPr>
  </w:style>
  <w:style w:type="paragraph" w:styleId="892">
    <w:name w:val="TOC Heading"/>
    <w:uiPriority w:val="39"/>
    <w:unhideWhenUsed/>
  </w:style>
  <w:style w:type="paragraph" w:styleId="893"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894">
    <w:name w:val="Heading 1"/>
    <w:basedOn w:val="893"/>
    <w:next w:val="893"/>
    <w:link w:val="969"/>
    <w:uiPriority w:val="0"/>
    <w:qFormat/>
    <w:pPr>
      <w:keepLines/>
      <w:keepNext/>
      <w:spacing w:before="340" w:after="330" w:line="578" w:lineRule="auto"/>
      <w:outlineLvl w:val="0"/>
    </w:pPr>
    <w:rPr>
      <w:b/>
      <w:sz w:val="44"/>
    </w:rPr>
  </w:style>
  <w:style w:type="paragraph" w:styleId="895">
    <w:name w:val="Heading 2"/>
    <w:basedOn w:val="893"/>
    <w:next w:val="893"/>
    <w:link w:val="970"/>
    <w:uiPriority w:val="0"/>
    <w:qFormat/>
    <w:pPr>
      <w:jc w:val="left"/>
      <w:keepLines/>
      <w:keepNext/>
      <w:outlineLvl w:val="1"/>
    </w:pPr>
    <w:rPr>
      <w:rFonts w:ascii="宋体" w:hAnsi="宋体"/>
      <w:b/>
    </w:rPr>
  </w:style>
  <w:style w:type="paragraph" w:styleId="896">
    <w:name w:val="Heading 3"/>
    <w:basedOn w:val="893"/>
    <w:next w:val="893"/>
    <w:link w:val="971"/>
    <w:uiPriority w:val="0"/>
    <w:qFormat/>
    <w:pPr>
      <w:jc w:val="left"/>
      <w:keepLines/>
      <w:keepNext/>
      <w:outlineLvl w:val="2"/>
    </w:pPr>
    <w:rPr>
      <w:b/>
    </w:rPr>
  </w:style>
  <w:style w:type="paragraph" w:styleId="897">
    <w:name w:val="Heading 4"/>
    <w:basedOn w:val="893"/>
    <w:next w:val="893"/>
    <w:link w:val="972"/>
    <w:uiPriority w:val="0"/>
    <w:qFormat/>
    <w:pPr>
      <w:keepLines/>
      <w:keepNext/>
      <w:spacing w:before="280" w:after="290" w:line="376" w:lineRule="auto"/>
      <w:outlineLvl w:val="3"/>
    </w:pPr>
    <w:rPr>
      <w:rFonts w:ascii="Arial" w:hAnsi="Arial" w:eastAsia="黑体"/>
      <w:b/>
      <w:bCs/>
      <w:sz w:val="28"/>
      <w:szCs w:val="28"/>
    </w:rPr>
  </w:style>
  <w:style w:type="paragraph" w:styleId="898">
    <w:name w:val="Heading 5"/>
    <w:basedOn w:val="893"/>
    <w:next w:val="893"/>
    <w:link w:val="973"/>
    <w:uiPriority w:val="0"/>
    <w:qFormat/>
    <w:pPr>
      <w:jc w:val="left"/>
      <w:keepLines/>
      <w:keepNext/>
      <w:spacing w:before="280" w:after="290" w:line="376" w:lineRule="atLeast"/>
      <w:outlineLvl w:val="4"/>
    </w:pPr>
    <w:rPr>
      <w:rFonts w:ascii="宋体" w:hAnsi="Tms Rmn" w:eastAsia="宋体"/>
      <w:b/>
      <w:sz w:val="28"/>
    </w:rPr>
  </w:style>
  <w:style w:type="paragraph" w:styleId="899">
    <w:name w:val="Heading 6"/>
    <w:basedOn w:val="893"/>
    <w:next w:val="893"/>
    <w:link w:val="974"/>
    <w:uiPriority w:val="0"/>
    <w:qFormat/>
    <w:pPr>
      <w:jc w:val="left"/>
      <w:keepLines/>
      <w:keepNext/>
      <w:spacing w:before="240" w:after="64" w:line="320" w:lineRule="atLeast"/>
      <w:outlineLvl w:val="5"/>
    </w:pPr>
    <w:rPr>
      <w:rFonts w:ascii="黑体" w:hAnsi="Tms Rmn" w:eastAsia="黑体"/>
      <w:b/>
      <w:sz w:val="24"/>
    </w:rPr>
  </w:style>
  <w:style w:type="paragraph" w:styleId="900">
    <w:name w:val="Heading 7"/>
    <w:basedOn w:val="893"/>
    <w:next w:val="893"/>
    <w:link w:val="975"/>
    <w:uiPriority w:val="0"/>
    <w:qFormat/>
    <w:pPr>
      <w:jc w:val="left"/>
      <w:keepLines/>
      <w:keepNext/>
      <w:spacing w:before="240" w:after="64" w:line="320" w:lineRule="atLeast"/>
      <w:outlineLvl w:val="6"/>
    </w:pPr>
    <w:rPr>
      <w:rFonts w:ascii="宋体" w:hAnsi="Tms Rmn" w:eastAsia="宋体"/>
      <w:b/>
      <w:sz w:val="24"/>
    </w:rPr>
  </w:style>
  <w:style w:type="paragraph" w:styleId="901">
    <w:name w:val="Heading 8"/>
    <w:basedOn w:val="893"/>
    <w:next w:val="893"/>
    <w:link w:val="976"/>
    <w:uiPriority w:val="0"/>
    <w:qFormat/>
    <w:pPr>
      <w:keepLines/>
      <w:keepNext/>
      <w:spacing w:before="240" w:after="64" w:line="320" w:lineRule="auto"/>
      <w:outlineLvl w:val="7"/>
    </w:pPr>
    <w:rPr>
      <w:rFonts w:ascii="Arial" w:hAnsi="Arial" w:eastAsia="黑体"/>
      <w:sz w:val="24"/>
      <w:szCs w:val="24"/>
    </w:rPr>
  </w:style>
  <w:style w:type="paragraph" w:styleId="902">
    <w:name w:val="Heading 9"/>
    <w:basedOn w:val="893"/>
    <w:next w:val="893"/>
    <w:link w:val="977"/>
    <w:uiPriority w:val="0"/>
    <w:qFormat/>
    <w:pPr>
      <w:keepLines/>
      <w:keepNext/>
      <w:spacing w:before="240" w:after="64" w:line="320" w:lineRule="auto"/>
      <w:outlineLvl w:val="8"/>
    </w:pPr>
    <w:rPr>
      <w:rFonts w:ascii="Arial" w:hAnsi="Arial" w:eastAsia="黑体"/>
      <w:sz w:val="24"/>
      <w:szCs w:val="21"/>
    </w:rPr>
  </w:style>
  <w:style w:type="character" w:styleId="903" w:default="1">
    <w:name w:val="Default Paragraph Font"/>
    <w:uiPriority w:val="1"/>
    <w:semiHidden/>
    <w:unhideWhenUsed/>
    <w:qFormat/>
  </w:style>
  <w:style w:type="table" w:styleId="904" w:default="1">
    <w:name w:val="Normal Table"/>
    <w:uiPriority w:val="99"/>
    <w:semiHidden/>
    <w:unhideWhenUsed/>
    <w:qFormat/>
    <w:tblPr>
      <w:tblCellMar>
        <w:left w:w="108" w:type="dxa"/>
        <w:top w:w="0" w:type="dxa"/>
        <w:right w:w="108" w:type="dxa"/>
        <w:bottom w:w="0" w:type="dxa"/>
      </w:tblCellMar>
    </w:tblPr>
  </w:style>
  <w:style w:type="paragraph" w:styleId="905">
    <w:name w:val="toc 7"/>
    <w:basedOn w:val="894"/>
    <w:next w:val="893"/>
    <w:uiPriority w:val="0"/>
    <w:qFormat/>
    <w:pPr>
      <w:ind w:left="2520"/>
    </w:pPr>
  </w:style>
  <w:style w:type="paragraph" w:styleId="906">
    <w:name w:val="index 8"/>
    <w:basedOn w:val="893"/>
    <w:next w:val="893"/>
    <w:uiPriority w:val="0"/>
    <w:qFormat/>
    <w:pPr>
      <w:ind w:left="2940"/>
    </w:pPr>
  </w:style>
  <w:style w:type="paragraph" w:styleId="907">
    <w:name w:val="List Number"/>
    <w:basedOn w:val="893"/>
    <w:uiPriority w:val="0"/>
    <w:qFormat/>
    <w:pPr>
      <w:ind w:left="1125" w:hanging="555"/>
      <w:tabs>
        <w:tab w:val="left" w:pos="1125" w:leader="none"/>
      </w:tabs>
    </w:pPr>
    <w:rPr>
      <w:rFonts w:eastAsia="宋体"/>
      <w:sz w:val="21"/>
      <w:szCs w:val="24"/>
    </w:rPr>
  </w:style>
  <w:style w:type="paragraph" w:styleId="908">
    <w:name w:val="Normal Indent"/>
    <w:basedOn w:val="893"/>
    <w:next w:val="893"/>
    <w:link w:val="978"/>
    <w:uiPriority w:val="0"/>
    <w:qFormat/>
    <w:pPr>
      <w:ind w:firstLine="420"/>
      <w:jc w:val="left"/>
    </w:pPr>
    <w:rPr>
      <w:sz w:val="24"/>
    </w:rPr>
  </w:style>
  <w:style w:type="paragraph" w:styleId="909">
    <w:name w:val="index 5"/>
    <w:basedOn w:val="893"/>
    <w:next w:val="893"/>
    <w:uiPriority w:val="0"/>
    <w:qFormat/>
    <w:pPr>
      <w:ind w:left="1680"/>
    </w:pPr>
  </w:style>
  <w:style w:type="paragraph" w:styleId="910">
    <w:name w:val="Document Map"/>
    <w:basedOn w:val="893"/>
    <w:link w:val="979"/>
    <w:uiPriority w:val="0"/>
    <w:qFormat/>
    <w:pPr>
      <w:shd w:val="clear" w:color="auto" w:fill="000080"/>
    </w:pPr>
    <w:rPr>
      <w:rFonts w:eastAsia="宋体"/>
      <w:sz w:val="24"/>
      <w:shd w:val="clear" w:color="auto" w:fill="000080"/>
    </w:rPr>
  </w:style>
  <w:style w:type="paragraph" w:styleId="911">
    <w:name w:val="annotation text"/>
    <w:basedOn w:val="893"/>
    <w:link w:val="980"/>
    <w:uiPriority w:val="0"/>
    <w:qFormat/>
    <w:pPr>
      <w:jc w:val="left"/>
    </w:pPr>
  </w:style>
  <w:style w:type="paragraph" w:styleId="912">
    <w:name w:val="index 6"/>
    <w:basedOn w:val="893"/>
    <w:next w:val="893"/>
    <w:uiPriority w:val="0"/>
    <w:qFormat/>
    <w:pPr>
      <w:ind w:left="2100"/>
    </w:pPr>
  </w:style>
  <w:style w:type="paragraph" w:styleId="913">
    <w:name w:val="Body Text"/>
    <w:basedOn w:val="893"/>
    <w:link w:val="981"/>
    <w:uiPriority w:val="0"/>
    <w:qFormat/>
    <w:pPr>
      <w:spacing w:line="400" w:lineRule="exact"/>
    </w:pPr>
    <w:rPr>
      <w:rFonts w:ascii="楷体_GB2312"/>
      <w:sz w:val="28"/>
    </w:rPr>
  </w:style>
  <w:style w:type="paragraph" w:styleId="914">
    <w:name w:val="Body Text Indent"/>
    <w:basedOn w:val="893"/>
    <w:next w:val="915"/>
    <w:link w:val="982"/>
    <w:uiPriority w:val="0"/>
    <w:qFormat/>
    <w:pPr>
      <w:ind w:left="570"/>
      <w:spacing w:line="520" w:lineRule="exact"/>
    </w:pPr>
    <w:rPr>
      <w:rFonts w:ascii="方正仿宋简体" w:hAnsi="创艺简仿宋" w:eastAsia="方正仿宋简体"/>
      <w:sz w:val="24"/>
    </w:rPr>
  </w:style>
  <w:style w:type="paragraph" w:styleId="915">
    <w:name w:val="envelope return"/>
    <w:basedOn w:val="893"/>
    <w:uiPriority w:val="0"/>
    <w:qFormat/>
    <w:rPr>
      <w:rFonts w:ascii="Arial" w:hAnsi="Arial"/>
    </w:rPr>
  </w:style>
  <w:style w:type="paragraph" w:styleId="916">
    <w:name w:val="List Number 3"/>
    <w:basedOn w:val="894"/>
    <w:next w:val="893"/>
    <w:uiPriority w:val="99"/>
    <w:unhideWhenUsed/>
    <w:qFormat/>
    <w:pPr>
      <w:numPr>
        <w:ilvl w:val="0"/>
        <w:numId w:val="1"/>
      </w:numPr>
    </w:pPr>
  </w:style>
  <w:style w:type="paragraph" w:styleId="917">
    <w:name w:val="List 2"/>
    <w:basedOn w:val="894"/>
    <w:next w:val="905"/>
    <w:uiPriority w:val="0"/>
    <w:qFormat/>
    <w:pPr>
      <w:ind w:left="100" w:firstLine="3640"/>
      <w:spacing w:before="0" w:after="0" w:line="240" w:lineRule="auto"/>
    </w:pPr>
  </w:style>
  <w:style w:type="paragraph" w:styleId="918">
    <w:name w:val="Block Text"/>
    <w:basedOn w:val="893"/>
    <w:uiPriority w:val="0"/>
    <w:qFormat/>
    <w:pPr>
      <w:ind w:left="630" w:right="-609" w:firstLine="420"/>
      <w:spacing w:line="360" w:lineRule="auto"/>
    </w:pPr>
    <w:rPr>
      <w:rFonts w:ascii="仿宋_GB2312" w:eastAsia="仿宋_GB2312"/>
      <w:sz w:val="21"/>
    </w:rPr>
  </w:style>
  <w:style w:type="paragraph" w:styleId="919">
    <w:name w:val="index 4"/>
    <w:basedOn w:val="893"/>
    <w:next w:val="893"/>
    <w:uiPriority w:val="0"/>
    <w:qFormat/>
    <w:pPr>
      <w:ind w:left="1260"/>
    </w:pPr>
  </w:style>
  <w:style w:type="paragraph" w:styleId="920">
    <w:name w:val="toc 5"/>
    <w:basedOn w:val="893"/>
    <w:next w:val="893"/>
    <w:uiPriority w:val="0"/>
    <w:qFormat/>
    <w:pPr>
      <w:ind w:left="1680"/>
    </w:pPr>
  </w:style>
  <w:style w:type="paragraph" w:styleId="921">
    <w:name w:val="toc 3"/>
    <w:basedOn w:val="893"/>
    <w:next w:val="893"/>
    <w:uiPriority w:val="0"/>
    <w:qFormat/>
    <w:pPr>
      <w:ind w:left="840"/>
    </w:pPr>
  </w:style>
  <w:style w:type="paragraph" w:styleId="922">
    <w:name w:val="Plain Text"/>
    <w:basedOn w:val="893"/>
    <w:link w:val="983"/>
    <w:uiPriority w:val="0"/>
    <w:qFormat/>
    <w:rPr>
      <w:rFonts w:ascii="宋体" w:hAnsi="Courier New"/>
    </w:rPr>
  </w:style>
  <w:style w:type="paragraph" w:styleId="923">
    <w:name w:val="List Bullet 5"/>
    <w:basedOn w:val="894"/>
    <w:next w:val="924"/>
    <w:uiPriority w:val="99"/>
    <w:unhideWhenUsed/>
    <w:qFormat/>
    <w:pPr>
      <w:numPr>
        <w:ilvl w:val="0"/>
        <w:numId w:val="2"/>
      </w:numPr>
    </w:pPr>
  </w:style>
  <w:style w:type="paragraph" w:styleId="924" w:customStyle="1">
    <w:name w:val="正文首行缩进1"/>
    <w:next w:val="916"/>
    <w:uiPriority w:val="0"/>
    <w:qFormat/>
    <w:pPr>
      <w:ind w:left="420" w:firstLine="2724"/>
      <w:spacing w:after="120" w:line="360" w:lineRule="auto"/>
    </w:pPr>
    <w:rPr>
      <w:rFonts w:ascii="Calibri" w:hAnsi="Calibri" w:eastAsia="宋体" w:cs="Times New Roman"/>
      <w:lang w:val="en-US" w:eastAsia="zh-CN" w:bidi="ar-SA"/>
    </w:rPr>
  </w:style>
  <w:style w:type="paragraph" w:styleId="925">
    <w:name w:val="toc 8"/>
    <w:basedOn w:val="893"/>
    <w:next w:val="893"/>
    <w:uiPriority w:val="0"/>
    <w:qFormat/>
    <w:pPr>
      <w:ind w:left="2940"/>
    </w:pPr>
  </w:style>
  <w:style w:type="paragraph" w:styleId="926">
    <w:name w:val="index 3"/>
    <w:basedOn w:val="893"/>
    <w:next w:val="893"/>
    <w:uiPriority w:val="0"/>
    <w:qFormat/>
    <w:pPr>
      <w:ind w:left="840"/>
    </w:pPr>
  </w:style>
  <w:style w:type="paragraph" w:styleId="927">
    <w:name w:val="Date"/>
    <w:basedOn w:val="893"/>
    <w:next w:val="893"/>
    <w:link w:val="984"/>
    <w:uiPriority w:val="0"/>
    <w:qFormat/>
    <w:rPr>
      <w:rFonts w:ascii="宋体" w:hAnsi="宋体"/>
      <w:sz w:val="24"/>
    </w:rPr>
  </w:style>
  <w:style w:type="paragraph" w:styleId="928">
    <w:name w:val="Body Text Indent 2"/>
    <w:basedOn w:val="893"/>
    <w:link w:val="985"/>
    <w:uiPriority w:val="0"/>
    <w:qFormat/>
    <w:pPr>
      <w:ind w:firstLine="502"/>
      <w:spacing w:line="360" w:lineRule="auto"/>
      <w:tabs>
        <w:tab w:val="left" w:pos="0" w:leader="none"/>
      </w:tabs>
    </w:pPr>
    <w:rPr>
      <w:rFonts w:ascii="宋体" w:eastAsia="宋体"/>
      <w:b/>
      <w:bCs/>
      <w:sz w:val="24"/>
    </w:rPr>
  </w:style>
  <w:style w:type="paragraph" w:styleId="929">
    <w:name w:val="Balloon Text"/>
    <w:basedOn w:val="893"/>
    <w:link w:val="986"/>
    <w:uiPriority w:val="0"/>
    <w:qFormat/>
    <w:rPr>
      <w:sz w:val="18"/>
      <w:szCs w:val="18"/>
    </w:rPr>
  </w:style>
  <w:style w:type="paragraph" w:styleId="930">
    <w:name w:val="Footer"/>
    <w:basedOn w:val="893"/>
    <w:link w:val="987"/>
    <w:uiPriority w:val="99"/>
    <w:qFormat/>
    <w:pPr>
      <w:jc w:val="left"/>
      <w:tabs>
        <w:tab w:val="center" w:pos="4153" w:leader="none"/>
        <w:tab w:val="right" w:pos="8306" w:leader="none"/>
      </w:tabs>
    </w:pPr>
    <w:rPr>
      <w:rFonts w:ascii="Tahoma" w:hAnsi="Tahoma" w:eastAsia="宋体"/>
      <w:sz w:val="18"/>
      <w:szCs w:val="18"/>
    </w:rPr>
  </w:style>
  <w:style w:type="paragraph" w:styleId="931">
    <w:name w:val="Header"/>
    <w:basedOn w:val="893"/>
    <w:link w:val="988"/>
    <w:uiPriority w:val="0"/>
    <w:qFormat/>
    <w:pPr>
      <w:jc w:val="center"/>
      <w:tabs>
        <w:tab w:val="center" w:pos="4153" w:leader="none"/>
        <w:tab w:val="right" w:pos="8306" w:leader="none"/>
      </w:tabs>
      <w:pBdr>
        <w:bottom w:val="single" w:color="auto" w:sz="6" w:space="1"/>
      </w:pBdr>
    </w:pPr>
    <w:rPr>
      <w:rFonts w:ascii="Tahoma" w:hAnsi="Tahoma" w:eastAsia="宋体"/>
      <w:sz w:val="18"/>
      <w:szCs w:val="18"/>
    </w:rPr>
  </w:style>
  <w:style w:type="paragraph" w:styleId="932">
    <w:name w:val="toc 1"/>
    <w:basedOn w:val="893"/>
    <w:next w:val="893"/>
    <w:uiPriority w:val="0"/>
    <w:qFormat/>
    <w:pPr>
      <w:ind w:firstLine="751"/>
      <w:jc w:val="left"/>
      <w:spacing w:line="360" w:lineRule="auto"/>
      <w:tabs>
        <w:tab w:val="right" w:pos="9538" w:leader="dot"/>
      </w:tabs>
    </w:pPr>
    <w:rPr>
      <w:sz w:val="24"/>
    </w:rPr>
  </w:style>
  <w:style w:type="paragraph" w:styleId="933">
    <w:name w:val="toc 4"/>
    <w:basedOn w:val="893"/>
    <w:next w:val="893"/>
    <w:uiPriority w:val="0"/>
    <w:qFormat/>
    <w:pPr>
      <w:ind w:left="1260"/>
    </w:pPr>
  </w:style>
  <w:style w:type="paragraph" w:styleId="934">
    <w:name w:val="index heading"/>
    <w:basedOn w:val="893"/>
    <w:next w:val="935"/>
    <w:uiPriority w:val="0"/>
    <w:qFormat/>
  </w:style>
  <w:style w:type="paragraph" w:styleId="935">
    <w:name w:val="index 1"/>
    <w:basedOn w:val="893"/>
    <w:next w:val="893"/>
    <w:uiPriority w:val="0"/>
    <w:qFormat/>
  </w:style>
  <w:style w:type="paragraph" w:styleId="936">
    <w:name w:val="List"/>
    <w:basedOn w:val="893"/>
    <w:uiPriority w:val="99"/>
    <w:unhideWhenUsed/>
    <w:qFormat/>
    <w:pPr>
      <w:contextualSpacing/>
      <w:ind w:left="200" w:hanging="200"/>
    </w:pPr>
    <w:rPr>
      <w:szCs w:val="22"/>
    </w:rPr>
  </w:style>
  <w:style w:type="paragraph" w:styleId="937">
    <w:name w:val="footnote text"/>
    <w:basedOn w:val="893"/>
    <w:link w:val="989"/>
    <w:uiPriority w:val="0"/>
    <w:qFormat/>
    <w:pPr>
      <w:jc w:val="left"/>
    </w:pPr>
    <w:rPr>
      <w:sz w:val="18"/>
    </w:rPr>
  </w:style>
  <w:style w:type="paragraph" w:styleId="938">
    <w:name w:val="toc 6"/>
    <w:basedOn w:val="893"/>
    <w:next w:val="893"/>
    <w:uiPriority w:val="0"/>
    <w:qFormat/>
    <w:pPr>
      <w:ind w:left="2100"/>
    </w:pPr>
  </w:style>
  <w:style w:type="paragraph" w:styleId="939">
    <w:name w:val="Body Text Indent 3"/>
    <w:basedOn w:val="893"/>
    <w:link w:val="990"/>
    <w:uiPriority w:val="0"/>
    <w:qFormat/>
    <w:pPr>
      <w:ind w:firstLine="617"/>
      <w:spacing w:line="360" w:lineRule="auto"/>
    </w:pPr>
    <w:rPr>
      <w:rFonts w:eastAsia="宋体"/>
      <w:sz w:val="24"/>
      <w:szCs w:val="24"/>
    </w:rPr>
  </w:style>
  <w:style w:type="paragraph" w:styleId="940">
    <w:name w:val="index 7"/>
    <w:basedOn w:val="893"/>
    <w:next w:val="893"/>
    <w:uiPriority w:val="0"/>
    <w:qFormat/>
    <w:pPr>
      <w:ind w:left="2520"/>
    </w:pPr>
  </w:style>
  <w:style w:type="paragraph" w:styleId="941">
    <w:name w:val="index 9"/>
    <w:basedOn w:val="893"/>
    <w:next w:val="893"/>
    <w:uiPriority w:val="0"/>
    <w:qFormat/>
    <w:pPr>
      <w:ind w:left="3360"/>
    </w:pPr>
  </w:style>
  <w:style w:type="paragraph" w:styleId="942">
    <w:name w:val="table of figures"/>
    <w:basedOn w:val="893"/>
    <w:next w:val="893"/>
    <w:uiPriority w:val="0"/>
    <w:qFormat/>
    <w:pPr>
      <w:ind w:left="420" w:hanging="420"/>
      <w:jc w:val="left"/>
    </w:pPr>
    <w:rPr>
      <w:smallCaps/>
      <w:sz w:val="24"/>
    </w:rPr>
  </w:style>
  <w:style w:type="paragraph" w:styleId="943">
    <w:name w:val="toc 2"/>
    <w:basedOn w:val="893"/>
    <w:next w:val="893"/>
    <w:uiPriority w:val="0"/>
    <w:qFormat/>
    <w:pPr>
      <w:ind w:left="420"/>
    </w:pPr>
  </w:style>
  <w:style w:type="paragraph" w:styleId="944">
    <w:name w:val="toc 9"/>
    <w:basedOn w:val="893"/>
    <w:next w:val="893"/>
    <w:uiPriority w:val="0"/>
    <w:qFormat/>
    <w:pPr>
      <w:ind w:left="3360"/>
    </w:pPr>
  </w:style>
  <w:style w:type="paragraph" w:styleId="945">
    <w:name w:val="HTML Preformatted"/>
    <w:basedOn w:val="893"/>
    <w:link w:val="99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946">
    <w:name w:val="Normal (Web)"/>
    <w:basedOn w:val="893"/>
    <w:next w:val="917"/>
    <w:uiPriority w:val="99"/>
    <w:qFormat/>
    <w:pPr>
      <w:jc w:val="left"/>
      <w:spacing w:before="100" w:beforeAutospacing="1" w:after="100" w:afterAutospacing="1"/>
      <w:widowControl/>
    </w:pPr>
    <w:rPr>
      <w:rFonts w:hint="eastAsia" w:ascii="宋体" w:hAnsi="宋体" w:eastAsia="宋体"/>
      <w:sz w:val="24"/>
      <w:szCs w:val="24"/>
    </w:rPr>
  </w:style>
  <w:style w:type="paragraph" w:styleId="947">
    <w:name w:val="index 2"/>
    <w:basedOn w:val="893"/>
    <w:next w:val="893"/>
    <w:uiPriority w:val="0"/>
    <w:qFormat/>
    <w:pPr>
      <w:ind w:left="420"/>
    </w:pPr>
  </w:style>
  <w:style w:type="paragraph" w:styleId="948">
    <w:name w:val="annotation subject"/>
    <w:basedOn w:val="911"/>
    <w:next w:val="911"/>
    <w:link w:val="992"/>
    <w:uiPriority w:val="0"/>
    <w:qFormat/>
    <w:rPr>
      <w:b/>
      <w:bCs/>
    </w:rPr>
  </w:style>
  <w:style w:type="paragraph" w:styleId="949">
    <w:name w:val="Body Text First Indent"/>
    <w:basedOn w:val="913"/>
    <w:link w:val="993"/>
    <w:uiPriority w:val="0"/>
    <w:qFormat/>
    <w:pPr>
      <w:ind w:firstLine="420"/>
      <w:spacing w:after="120" w:line="240" w:lineRule="auto"/>
    </w:pPr>
    <w:rPr>
      <w:rFonts w:ascii="Times New Roman"/>
      <w:sz w:val="26"/>
    </w:rPr>
  </w:style>
  <w:style w:type="paragraph" w:styleId="950">
    <w:name w:val="Body Text First Indent 2"/>
    <w:basedOn w:val="914"/>
    <w:uiPriority w:val="0"/>
    <w:qFormat/>
    <w:pPr>
      <w:ind w:firstLine="420"/>
    </w:pPr>
  </w:style>
  <w:style w:type="table" w:styleId="951">
    <w:name w:val="Table Grid"/>
    <w:basedOn w:val="904"/>
    <w:uiPriority w:val="5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2">
    <w:name w:val="Strong"/>
    <w:uiPriority w:val="0"/>
    <w:qFormat/>
    <w:rPr>
      <w:rFonts w:ascii="Tahoma" w:hAnsi="Tahoma" w:eastAsia="宋体"/>
      <w:b/>
      <w:sz w:val="24"/>
    </w:rPr>
  </w:style>
  <w:style w:type="character" w:styleId="953">
    <w:name w:val="page number"/>
    <w:uiPriority w:val="0"/>
    <w:qFormat/>
  </w:style>
  <w:style w:type="character" w:styleId="954">
    <w:name w:val="FollowedHyperlink"/>
    <w:uiPriority w:val="0"/>
    <w:qFormat/>
    <w:rPr>
      <w:color w:val="800080"/>
      <w:u w:val="none"/>
    </w:rPr>
  </w:style>
  <w:style w:type="character" w:styleId="955">
    <w:name w:val="Emphasis"/>
    <w:uiPriority w:val="20"/>
    <w:qFormat/>
    <w:rPr>
      <w:b/>
      <w:bCs/>
    </w:rPr>
  </w:style>
  <w:style w:type="character" w:styleId="956">
    <w:name w:val="HTML Definition"/>
    <w:uiPriority w:val="99"/>
    <w:unhideWhenUsed/>
    <w:qFormat/>
  </w:style>
  <w:style w:type="character" w:styleId="957">
    <w:name w:val="HTML Typewriter"/>
    <w:uiPriority w:val="99"/>
    <w:unhideWhenUsed/>
    <w:qFormat/>
    <w:rPr>
      <w:rFonts w:hint="default" w:ascii="monospace" w:hAnsi="monospace" w:eastAsia="monospace" w:cs="monospace"/>
      <w:sz w:val="20"/>
    </w:rPr>
  </w:style>
  <w:style w:type="character" w:styleId="958">
    <w:name w:val="HTML Acronym"/>
    <w:uiPriority w:val="99"/>
    <w:unhideWhenUsed/>
    <w:qFormat/>
  </w:style>
  <w:style w:type="character" w:styleId="959">
    <w:name w:val="HTML Variable"/>
    <w:uiPriority w:val="99"/>
    <w:unhideWhenUsed/>
    <w:qFormat/>
  </w:style>
  <w:style w:type="character" w:styleId="960">
    <w:name w:val="Hyperlink"/>
    <w:uiPriority w:val="0"/>
    <w:qFormat/>
    <w:rPr>
      <w:color w:val="0000ff"/>
      <w:u w:val="none"/>
    </w:rPr>
  </w:style>
  <w:style w:type="character" w:styleId="961">
    <w:name w:val="HTML Code"/>
    <w:uiPriority w:val="99"/>
    <w:unhideWhenUsed/>
    <w:qFormat/>
    <w:rPr>
      <w:rFonts w:hint="default" w:ascii="monospace" w:hAnsi="monospace" w:eastAsia="monospace" w:cs="monospace"/>
      <w:sz w:val="20"/>
    </w:rPr>
  </w:style>
  <w:style w:type="character" w:styleId="962">
    <w:name w:val="annotation reference"/>
    <w:uiPriority w:val="0"/>
    <w:qFormat/>
    <w:rPr>
      <w:sz w:val="21"/>
      <w:szCs w:val="21"/>
    </w:rPr>
  </w:style>
  <w:style w:type="character" w:styleId="963">
    <w:name w:val="HTML Cite"/>
    <w:uiPriority w:val="99"/>
    <w:unhideWhenUsed/>
    <w:qFormat/>
  </w:style>
  <w:style w:type="character" w:styleId="964">
    <w:name w:val="footnote reference"/>
    <w:uiPriority w:val="0"/>
    <w:qFormat/>
    <w:rPr>
      <w:vertAlign w:val="superscript"/>
    </w:rPr>
  </w:style>
  <w:style w:type="character" w:styleId="965">
    <w:name w:val="HTML Keyboard"/>
    <w:uiPriority w:val="99"/>
    <w:unhideWhenUsed/>
    <w:qFormat/>
    <w:rPr>
      <w:rFonts w:ascii="monospace" w:hAnsi="monospace" w:eastAsia="monospace" w:cs="monospace"/>
      <w:sz w:val="20"/>
    </w:rPr>
  </w:style>
  <w:style w:type="character" w:styleId="966">
    <w:name w:val="HTML Sample"/>
    <w:uiPriority w:val="99"/>
    <w:unhideWhenUsed/>
    <w:qFormat/>
    <w:rPr>
      <w:rFonts w:hint="default" w:ascii="monospace" w:hAnsi="monospace" w:eastAsia="monospace" w:cs="monospace"/>
    </w:rPr>
  </w:style>
  <w:style w:type="paragraph" w:styleId="967">
    <w:name w:val="List Paragraph"/>
    <w:basedOn w:val="893"/>
    <w:uiPriority w:val="0"/>
    <w:qFormat/>
    <w:pPr>
      <w:ind w:firstLine="420"/>
    </w:pPr>
  </w:style>
  <w:style w:type="paragraph" w:styleId="968" w:customStyle="1">
    <w:name w:val="段"/>
    <w:next w:val="893"/>
    <w:uiPriority w:val="0"/>
    <w:qFormat/>
    <w:pPr>
      <w:ind w:firstLine="200"/>
      <w:jc w:val="both"/>
      <w:spacing w:line="360" w:lineRule="auto"/>
    </w:pPr>
    <w:rPr>
      <w:rFonts w:ascii="宋体" w:hAnsi="Calibri" w:eastAsia="宋体" w:cs="Times New Roman"/>
      <w:sz w:val="24"/>
      <w:szCs w:val="22"/>
      <w:lang w:val="en-US" w:eastAsia="zh-CN" w:bidi="ar-SA"/>
    </w:rPr>
  </w:style>
  <w:style w:type="character" w:styleId="969" w:customStyle="1">
    <w:name w:val="标题 1 字符"/>
    <w:link w:val="894"/>
    <w:uiPriority w:val="0"/>
    <w:qFormat/>
    <w:rPr>
      <w:rFonts w:ascii="Times New Roman" w:hAnsi="Times New Roman" w:eastAsia="楷体_GB2312" w:cs="Times New Roman"/>
      <w:b/>
      <w:sz w:val="44"/>
      <w:szCs w:val="20"/>
    </w:rPr>
  </w:style>
  <w:style w:type="character" w:styleId="970" w:customStyle="1">
    <w:name w:val="标题 2 字符"/>
    <w:link w:val="895"/>
    <w:uiPriority w:val="0"/>
    <w:qFormat/>
    <w:rPr>
      <w:rFonts w:ascii="宋体" w:hAnsi="宋体" w:eastAsia="楷体_GB2312" w:cs="Times New Roman"/>
      <w:b/>
      <w:sz w:val="26"/>
      <w:szCs w:val="20"/>
    </w:rPr>
  </w:style>
  <w:style w:type="character" w:styleId="971" w:customStyle="1">
    <w:name w:val="标题 3 字符"/>
    <w:link w:val="896"/>
    <w:uiPriority w:val="0"/>
    <w:qFormat/>
    <w:rPr>
      <w:rFonts w:ascii="Times New Roman" w:hAnsi="Times New Roman" w:eastAsia="楷体_GB2312" w:cs="Times New Roman"/>
      <w:b/>
      <w:sz w:val="26"/>
      <w:szCs w:val="20"/>
    </w:rPr>
  </w:style>
  <w:style w:type="character" w:styleId="972" w:customStyle="1">
    <w:name w:val="标题 4 字符"/>
    <w:link w:val="897"/>
    <w:uiPriority w:val="0"/>
    <w:qFormat/>
    <w:rPr>
      <w:rFonts w:ascii="Arial" w:hAnsi="Arial" w:eastAsia="黑体" w:cs="Times New Roman"/>
      <w:b/>
      <w:bCs/>
      <w:sz w:val="28"/>
      <w:szCs w:val="28"/>
    </w:rPr>
  </w:style>
  <w:style w:type="character" w:styleId="973" w:customStyle="1">
    <w:name w:val="标题 5 字符"/>
    <w:link w:val="898"/>
    <w:uiPriority w:val="0"/>
    <w:qFormat/>
    <w:rPr>
      <w:rFonts w:ascii="宋体" w:hAnsi="Tms Rmn" w:eastAsia="宋体" w:cs="Times New Roman"/>
      <w:b/>
      <w:sz w:val="28"/>
      <w:szCs w:val="20"/>
    </w:rPr>
  </w:style>
  <w:style w:type="character" w:styleId="974" w:customStyle="1">
    <w:name w:val="标题 6 字符"/>
    <w:link w:val="899"/>
    <w:uiPriority w:val="0"/>
    <w:qFormat/>
    <w:rPr>
      <w:rFonts w:ascii="黑体" w:hAnsi="Tms Rmn" w:eastAsia="黑体" w:cs="Times New Roman"/>
      <w:b/>
      <w:sz w:val="24"/>
      <w:szCs w:val="20"/>
    </w:rPr>
  </w:style>
  <w:style w:type="character" w:styleId="975" w:customStyle="1">
    <w:name w:val="标题 7 字符"/>
    <w:link w:val="900"/>
    <w:uiPriority w:val="0"/>
    <w:qFormat/>
    <w:rPr>
      <w:rFonts w:ascii="宋体" w:hAnsi="Tms Rmn" w:eastAsia="宋体" w:cs="Times New Roman"/>
      <w:b/>
      <w:sz w:val="24"/>
      <w:szCs w:val="20"/>
    </w:rPr>
  </w:style>
  <w:style w:type="character" w:styleId="976" w:customStyle="1">
    <w:name w:val="标题 8 字符"/>
    <w:link w:val="901"/>
    <w:uiPriority w:val="0"/>
    <w:qFormat/>
    <w:rPr>
      <w:rFonts w:ascii="Arial" w:hAnsi="Arial" w:eastAsia="黑体" w:cs="Times New Roman"/>
      <w:sz w:val="24"/>
      <w:szCs w:val="24"/>
    </w:rPr>
  </w:style>
  <w:style w:type="character" w:styleId="977" w:customStyle="1">
    <w:name w:val="标题 9 字符"/>
    <w:link w:val="902"/>
    <w:uiPriority w:val="0"/>
    <w:qFormat/>
    <w:rPr>
      <w:rFonts w:ascii="Arial" w:hAnsi="Arial" w:eastAsia="黑体" w:cs="Times New Roman"/>
      <w:sz w:val="24"/>
      <w:szCs w:val="21"/>
    </w:rPr>
  </w:style>
  <w:style w:type="character" w:styleId="978" w:customStyle="1">
    <w:name w:val="正文缩进 字符"/>
    <w:link w:val="908"/>
    <w:uiPriority w:val="0"/>
    <w:qFormat/>
    <w:rPr>
      <w:rFonts w:eastAsia="楷体_GB2312"/>
      <w:sz w:val="24"/>
    </w:rPr>
  </w:style>
  <w:style w:type="character" w:styleId="979" w:customStyle="1">
    <w:name w:val="文档结构图 字符"/>
    <w:link w:val="910"/>
    <w:uiPriority w:val="0"/>
    <w:qFormat/>
    <w:rPr>
      <w:rFonts w:ascii="Times New Roman" w:hAnsi="Times New Roman" w:eastAsia="宋体" w:cs="Times New Roman"/>
      <w:sz w:val="24"/>
      <w:szCs w:val="20"/>
      <w:shd w:val="clear" w:color="auto" w:fill="000080"/>
    </w:rPr>
  </w:style>
  <w:style w:type="character" w:styleId="980" w:customStyle="1">
    <w:name w:val="批注文字 字符1"/>
    <w:link w:val="911"/>
    <w:uiPriority w:val="0"/>
    <w:qFormat/>
    <w:rPr>
      <w:rFonts w:ascii="Times New Roman" w:hAnsi="Times New Roman" w:eastAsia="楷体_GB2312" w:cs="Times New Roman"/>
      <w:sz w:val="26"/>
      <w:szCs w:val="20"/>
    </w:rPr>
  </w:style>
  <w:style w:type="character" w:styleId="981" w:customStyle="1">
    <w:name w:val="正文文本 字符"/>
    <w:link w:val="913"/>
    <w:uiPriority w:val="0"/>
    <w:qFormat/>
    <w:rPr>
      <w:rFonts w:ascii="楷体_GB2312" w:hAnsi="Times New Roman" w:eastAsia="楷体_GB2312" w:cs="Times New Roman"/>
      <w:sz w:val="28"/>
      <w:szCs w:val="20"/>
    </w:rPr>
  </w:style>
  <w:style w:type="character" w:styleId="982" w:customStyle="1">
    <w:name w:val="正文文本缩进 字符"/>
    <w:link w:val="914"/>
    <w:uiPriority w:val="0"/>
    <w:qFormat/>
    <w:rPr>
      <w:rFonts w:ascii="方正仿宋简体" w:hAnsi="创艺简仿宋" w:eastAsia="方正仿宋简体" w:cs="Times New Roman"/>
      <w:sz w:val="24"/>
      <w:szCs w:val="20"/>
    </w:rPr>
  </w:style>
  <w:style w:type="character" w:styleId="983" w:customStyle="1">
    <w:name w:val="纯文本 字符"/>
    <w:link w:val="922"/>
    <w:uiPriority w:val="0"/>
    <w:qFormat/>
    <w:rPr>
      <w:rFonts w:ascii="宋体" w:hAnsi="Courier New" w:eastAsia="楷体_GB2312"/>
      <w:sz w:val="26"/>
    </w:rPr>
  </w:style>
  <w:style w:type="character" w:styleId="984" w:customStyle="1">
    <w:name w:val="日期 字符"/>
    <w:link w:val="927"/>
    <w:uiPriority w:val="0"/>
    <w:qFormat/>
    <w:rPr>
      <w:rFonts w:ascii="宋体" w:hAnsi="宋体" w:eastAsia="楷体_GB2312" w:cs="Times New Roman"/>
      <w:sz w:val="24"/>
      <w:szCs w:val="20"/>
    </w:rPr>
  </w:style>
  <w:style w:type="character" w:styleId="985" w:customStyle="1">
    <w:name w:val="正文文本缩进 2 字符"/>
    <w:link w:val="928"/>
    <w:uiPriority w:val="0"/>
    <w:qFormat/>
    <w:rPr>
      <w:rFonts w:ascii="宋体" w:hAnsi="Times New Roman" w:eastAsia="宋体" w:cs="Times New Roman"/>
      <w:b/>
      <w:bCs/>
      <w:sz w:val="24"/>
      <w:szCs w:val="20"/>
    </w:rPr>
  </w:style>
  <w:style w:type="character" w:styleId="986" w:customStyle="1">
    <w:name w:val="批注框文本 字符"/>
    <w:link w:val="929"/>
    <w:uiPriority w:val="0"/>
    <w:qFormat/>
    <w:rPr>
      <w:rFonts w:ascii="Times New Roman" w:hAnsi="Times New Roman" w:eastAsia="楷体_GB2312" w:cs="Times New Roman"/>
      <w:sz w:val="18"/>
      <w:szCs w:val="18"/>
    </w:rPr>
  </w:style>
  <w:style w:type="character" w:styleId="987" w:customStyle="1">
    <w:name w:val="页脚 字符"/>
    <w:link w:val="930"/>
    <w:uiPriority w:val="99"/>
    <w:qFormat/>
    <w:rPr>
      <w:rFonts w:ascii="Tahoma" w:hAnsi="Tahoma" w:eastAsia="宋体"/>
      <w:sz w:val="18"/>
      <w:szCs w:val="18"/>
    </w:rPr>
  </w:style>
  <w:style w:type="character" w:styleId="988" w:customStyle="1">
    <w:name w:val="页眉 字符"/>
    <w:link w:val="931"/>
    <w:uiPriority w:val="0"/>
    <w:qFormat/>
    <w:rPr>
      <w:rFonts w:ascii="Tahoma" w:hAnsi="Tahoma" w:eastAsia="宋体"/>
      <w:sz w:val="18"/>
      <w:szCs w:val="18"/>
    </w:rPr>
  </w:style>
  <w:style w:type="character" w:styleId="989" w:customStyle="1">
    <w:name w:val="脚注文本 字符"/>
    <w:link w:val="937"/>
    <w:uiPriority w:val="0"/>
    <w:qFormat/>
    <w:rPr>
      <w:rFonts w:ascii="Times New Roman" w:hAnsi="Times New Roman" w:eastAsia="楷体_GB2312" w:cs="Times New Roman"/>
      <w:sz w:val="18"/>
      <w:szCs w:val="20"/>
    </w:rPr>
  </w:style>
  <w:style w:type="character" w:styleId="990" w:customStyle="1">
    <w:name w:val="正文文本缩进 3 字符"/>
    <w:link w:val="939"/>
    <w:uiPriority w:val="0"/>
    <w:qFormat/>
    <w:rPr>
      <w:rFonts w:ascii="Times New Roman" w:hAnsi="Times New Roman" w:eastAsia="宋体" w:cs="Times New Roman"/>
      <w:sz w:val="24"/>
      <w:szCs w:val="24"/>
    </w:rPr>
  </w:style>
  <w:style w:type="character" w:styleId="991" w:customStyle="1">
    <w:name w:val="HTML 预设格式 字符"/>
    <w:link w:val="945"/>
    <w:uiPriority w:val="0"/>
    <w:qFormat/>
    <w:rPr>
      <w:rFonts w:ascii="黑体" w:hAnsi="Courier New" w:eastAsia="黑体" w:cs="楷体_GB2312"/>
      <w:sz w:val="20"/>
      <w:szCs w:val="20"/>
    </w:rPr>
  </w:style>
  <w:style w:type="character" w:styleId="992" w:customStyle="1">
    <w:name w:val="批注主题 字符"/>
    <w:link w:val="948"/>
    <w:uiPriority w:val="0"/>
    <w:qFormat/>
    <w:rPr>
      <w:rFonts w:ascii="Times New Roman" w:hAnsi="Times New Roman" w:eastAsia="楷体_GB2312" w:cs="Times New Roman"/>
      <w:b/>
      <w:bCs/>
      <w:sz w:val="26"/>
      <w:szCs w:val="20"/>
    </w:rPr>
  </w:style>
  <w:style w:type="character" w:styleId="993" w:customStyle="1">
    <w:name w:val="正文文本首行缩进 字符"/>
    <w:link w:val="949"/>
    <w:uiPriority w:val="0"/>
    <w:qFormat/>
    <w:rPr>
      <w:rFonts w:ascii="Times New Roman" w:hAnsi="Times New Roman" w:eastAsia="楷体_GB2312" w:cs="Times New Roman"/>
      <w:sz w:val="26"/>
      <w:szCs w:val="20"/>
    </w:rPr>
  </w:style>
  <w:style w:type="character" w:styleId="994" w:customStyle="1">
    <w:name w:val="font121"/>
    <w:uiPriority w:val="0"/>
    <w:qFormat/>
    <w:rPr>
      <w:rFonts w:hint="default" w:ascii="微软雅黑" w:hAnsi="微软雅黑" w:eastAsia="微软雅黑" w:cs="微软雅黑"/>
      <w:color w:val="000000"/>
      <w:sz w:val="21"/>
      <w:szCs w:val="21"/>
      <w:u w:val="none"/>
    </w:rPr>
  </w:style>
  <w:style w:type="character" w:styleId="995" w:customStyle="1">
    <w:name w:val="font91"/>
    <w:uiPriority w:val="0"/>
    <w:qFormat/>
    <w:rPr>
      <w:rFonts w:hint="default" w:ascii="微软雅黑" w:hAnsi="微软雅黑" w:eastAsia="微软雅黑" w:cs="微软雅黑"/>
      <w:color w:val="ff0000"/>
      <w:sz w:val="21"/>
      <w:szCs w:val="21"/>
      <w:u w:val="none"/>
    </w:rPr>
  </w:style>
  <w:style w:type="character" w:styleId="996" w:customStyle="1">
    <w:name w:val="font191"/>
    <w:uiPriority w:val="0"/>
    <w:qFormat/>
    <w:rPr>
      <w:rFonts w:hint="eastAsia" w:ascii="宋体" w:hAnsi="宋体" w:eastAsia="宋体" w:cs="宋体"/>
      <w:color w:val="000000"/>
      <w:sz w:val="21"/>
      <w:szCs w:val="21"/>
      <w:u w:val="none"/>
    </w:rPr>
  </w:style>
  <w:style w:type="character" w:styleId="997" w:customStyle="1">
    <w:name w:val="纯文本 Char1"/>
    <w:uiPriority w:val="0"/>
    <w:qFormat/>
    <w:rPr>
      <w:rFonts w:ascii="宋体" w:hAnsi="Courier New" w:eastAsia="宋体" w:cs="Courier New"/>
      <w:sz w:val="24"/>
      <w:szCs w:val="21"/>
    </w:rPr>
  </w:style>
  <w:style w:type="character" w:styleId="998" w:customStyle="1">
    <w:name w:val="font161"/>
    <w:uiPriority w:val="0"/>
    <w:qFormat/>
    <w:rPr>
      <w:rFonts w:hint="eastAsia" w:ascii="宋体" w:hAnsi="宋体" w:eastAsia="宋体" w:cs="宋体"/>
      <w:color w:val="333333"/>
      <w:sz w:val="20"/>
      <w:szCs w:val="20"/>
      <w:u w:val="none"/>
    </w:rPr>
  </w:style>
  <w:style w:type="character" w:styleId="999" w:customStyle="1">
    <w:name w:val="font51"/>
    <w:uiPriority w:val="0"/>
    <w:qFormat/>
    <w:rPr>
      <w:rFonts w:hint="default" w:ascii="Times New Roman" w:hAnsi="Times New Roman" w:eastAsia="宋体" w:cs="Times New Roman"/>
      <w:color w:val="000000"/>
      <w:sz w:val="21"/>
      <w:szCs w:val="21"/>
      <w:u w:val="none"/>
    </w:rPr>
  </w:style>
  <w:style w:type="character" w:styleId="1000" w:customStyle="1">
    <w:name w:val="font101"/>
    <w:uiPriority w:val="0"/>
    <w:qFormat/>
    <w:rPr>
      <w:rFonts w:hint="eastAsia" w:ascii="宋体" w:hAnsi="宋体" w:eastAsia="宋体" w:cs="宋体"/>
      <w:color w:val="000000"/>
      <w:sz w:val="21"/>
      <w:szCs w:val="21"/>
      <w:u w:val="none"/>
    </w:rPr>
  </w:style>
  <w:style w:type="character" w:styleId="1001" w:customStyle="1">
    <w:name w:val="font151"/>
    <w:uiPriority w:val="0"/>
    <w:qFormat/>
    <w:rPr>
      <w:rFonts w:hint="default" w:ascii="Times New Roman" w:hAnsi="Times New Roman" w:eastAsia="宋体" w:cs="Times New Roman"/>
      <w:color w:val="dd0806"/>
      <w:sz w:val="21"/>
      <w:szCs w:val="21"/>
      <w:u w:val="none"/>
    </w:rPr>
  </w:style>
  <w:style w:type="character" w:styleId="1002" w:customStyle="1">
    <w:name w:val="font31"/>
    <w:uiPriority w:val="0"/>
    <w:qFormat/>
    <w:rPr>
      <w:rFonts w:ascii="微软雅黑" w:hAnsi="微软雅黑" w:eastAsia="微软雅黑" w:cs="微软雅黑"/>
      <w:color w:val="000000"/>
      <w:sz w:val="21"/>
      <w:szCs w:val="21"/>
      <w:u w:val="none"/>
    </w:rPr>
  </w:style>
  <w:style w:type="character" w:styleId="1003" w:customStyle="1">
    <w:name w:val="mini-outputtext1"/>
    <w:uiPriority w:val="0"/>
    <w:qFormat/>
  </w:style>
  <w:style w:type="character" w:styleId="1004" w:customStyle="1">
    <w:name w:val="Plain Text Char1"/>
    <w:link w:val="1005"/>
    <w:uiPriority w:val="0"/>
    <w:qFormat/>
    <w:rPr>
      <w:rFonts w:ascii="宋体" w:hAnsi="Courier New" w:eastAsia="楷体_GB2312"/>
      <w:sz w:val="26"/>
    </w:rPr>
  </w:style>
  <w:style w:type="paragraph" w:styleId="1005" w:customStyle="1">
    <w:name w:val="纯文本1"/>
    <w:basedOn w:val="893"/>
    <w:link w:val="1004"/>
    <w:uiPriority w:val="0"/>
    <w:qFormat/>
    <w:rPr>
      <w:rFonts w:ascii="宋体" w:hAnsi="Courier New"/>
    </w:rPr>
  </w:style>
  <w:style w:type="character" w:styleId="1006" w:customStyle="1">
    <w:name w:val="font71"/>
    <w:uiPriority w:val="0"/>
    <w:qFormat/>
    <w:rPr>
      <w:rFonts w:hint="default" w:ascii="Times New Roman" w:hAnsi="Times New Roman" w:eastAsia="宋体" w:cs="Times New Roman"/>
      <w:color w:val="000000"/>
      <w:sz w:val="21"/>
      <w:szCs w:val="21"/>
      <w:u w:val="none"/>
    </w:rPr>
  </w:style>
  <w:style w:type="character" w:styleId="1007" w:customStyle="1">
    <w:name w:val="批注文字 字符"/>
    <w:uiPriority w:val="0"/>
    <w:qFormat/>
    <w:rPr>
      <w:rFonts w:ascii="Times New Roman" w:hAnsi="Times New Roman" w:eastAsia="楷体_GB2312" w:cs="Times New Roman"/>
      <w:sz w:val="26"/>
      <w:szCs w:val="20"/>
    </w:rPr>
  </w:style>
  <w:style w:type="character" w:styleId="1008" w:customStyle="1">
    <w:name w:val="font81"/>
    <w:uiPriority w:val="0"/>
    <w:qFormat/>
    <w:rPr>
      <w:rFonts w:ascii="微软雅黑" w:hAnsi="微软雅黑" w:eastAsia="微软雅黑" w:cs="微软雅黑"/>
      <w:color w:val="000000"/>
      <w:sz w:val="21"/>
      <w:szCs w:val="21"/>
      <w:u w:val="none"/>
    </w:rPr>
  </w:style>
  <w:style w:type="character" w:styleId="1009" w:customStyle="1">
    <w:name w:val="font181"/>
    <w:uiPriority w:val="0"/>
    <w:qFormat/>
    <w:rPr>
      <w:rFonts w:hint="default" w:ascii="Times New Roman" w:hAnsi="Times New Roman" w:eastAsia="宋体" w:cs="Times New Roman"/>
      <w:color w:val="000000"/>
      <w:sz w:val="21"/>
      <w:szCs w:val="21"/>
      <w:u w:val="none"/>
      <w:vertAlign w:val="subscript"/>
    </w:rPr>
  </w:style>
  <w:style w:type="character" w:styleId="1010" w:customStyle="1">
    <w:name w:val="apple-style-span"/>
    <w:uiPriority w:val="0"/>
    <w:qFormat/>
  </w:style>
  <w:style w:type="character" w:styleId="1011" w:customStyle="1">
    <w:name w:val="font21"/>
    <w:uiPriority w:val="0"/>
    <w:qFormat/>
    <w:rPr>
      <w:rFonts w:hint="eastAsia" w:ascii="宋体" w:hAnsi="宋体" w:eastAsia="宋体" w:cs="宋体"/>
      <w:b/>
      <w:color w:val="000000"/>
      <w:sz w:val="22"/>
      <w:szCs w:val="22"/>
      <w:u w:val="none"/>
    </w:rPr>
  </w:style>
  <w:style w:type="character" w:styleId="1012" w:customStyle="1">
    <w:name w:val="hover2"/>
    <w:uiPriority w:val="0"/>
    <w:qFormat/>
    <w:rPr>
      <w:color w:val="2590eb"/>
    </w:rPr>
  </w:style>
  <w:style w:type="character" w:styleId="1013" w:customStyle="1">
    <w:name w:val="font171"/>
    <w:uiPriority w:val="0"/>
    <w:qFormat/>
    <w:rPr>
      <w:rFonts w:hint="default" w:ascii="微软雅黑" w:hAnsi="微软雅黑" w:eastAsia="微软雅黑" w:cs="微软雅黑"/>
      <w:color w:val="000000"/>
      <w:sz w:val="21"/>
      <w:szCs w:val="21"/>
      <w:u w:val="none"/>
    </w:rPr>
  </w:style>
  <w:style w:type="character" w:styleId="1014" w:customStyle="1">
    <w:name w:val="font01"/>
    <w:uiPriority w:val="0"/>
    <w:qFormat/>
    <w:rPr>
      <w:rFonts w:hint="eastAsia" w:ascii="宋体" w:hAnsi="宋体" w:eastAsia="宋体" w:cs="宋体"/>
      <w:color w:val="333333"/>
      <w:sz w:val="24"/>
      <w:szCs w:val="24"/>
      <w:u w:val="none"/>
    </w:rPr>
  </w:style>
  <w:style w:type="character" w:styleId="1015" w:customStyle="1">
    <w:name w:val="font131"/>
    <w:uiPriority w:val="0"/>
    <w:qFormat/>
    <w:rPr>
      <w:rFonts w:hint="default" w:ascii="Times New Roman" w:hAnsi="Times New Roman" w:eastAsia="宋体" w:cs="Times New Roman"/>
      <w:color w:val="333333"/>
      <w:sz w:val="20"/>
      <w:szCs w:val="20"/>
      <w:u w:val="none"/>
    </w:rPr>
  </w:style>
  <w:style w:type="character" w:styleId="1016" w:customStyle="1">
    <w:name w:val="font11"/>
    <w:uiPriority w:val="0"/>
    <w:qFormat/>
    <w:rPr>
      <w:rFonts w:hint="eastAsia" w:ascii="宋体" w:hAnsi="宋体" w:eastAsia="宋体" w:cs="宋体"/>
      <w:color w:val="000000"/>
      <w:sz w:val="24"/>
      <w:szCs w:val="24"/>
      <w:u w:val="none"/>
    </w:rPr>
  </w:style>
  <w:style w:type="character" w:styleId="1017" w:customStyle="1">
    <w:name w:val="hover1"/>
    <w:uiPriority w:val="0"/>
    <w:qFormat/>
    <w:rPr>
      <w:color w:val="2590eb"/>
    </w:rPr>
  </w:style>
  <w:style w:type="character" w:styleId="1018" w:customStyle="1">
    <w:name w:val="无间隔 字符"/>
    <w:link w:val="1019"/>
    <w:uiPriority w:val="0"/>
    <w:qFormat/>
    <w:rPr>
      <w:sz w:val="22"/>
      <w:szCs w:val="22"/>
      <w:lang w:val="en-US" w:eastAsia="en-US" w:bidi="ar-SA"/>
    </w:rPr>
  </w:style>
  <w:style w:type="paragraph" w:styleId="1019">
    <w:name w:val="No Spacing"/>
    <w:link w:val="1018"/>
    <w:uiPriority w:val="0"/>
    <w:qFormat/>
    <w:rPr>
      <w:rFonts w:ascii="Times New Roman" w:hAnsi="Times New Roman" w:eastAsia="宋体" w:cs="Times New Roman"/>
      <w:sz w:val="22"/>
      <w:szCs w:val="22"/>
      <w:lang w:val="en-US" w:eastAsia="en-US" w:bidi="ar-SA"/>
    </w:rPr>
  </w:style>
  <w:style w:type="character" w:styleId="1020" w:customStyle="1">
    <w:name w:val="hover"/>
    <w:uiPriority w:val="0"/>
    <w:qFormat/>
  </w:style>
  <w:style w:type="character" w:styleId="1021" w:customStyle="1">
    <w:name w:val="font61"/>
    <w:uiPriority w:val="0"/>
    <w:qFormat/>
    <w:rPr>
      <w:rFonts w:ascii="Batang" w:hAnsi="Batang" w:eastAsia="Batang" w:cs="Batang"/>
      <w:color w:val="000000"/>
      <w:sz w:val="21"/>
      <w:szCs w:val="21"/>
      <w:u w:val="none"/>
    </w:rPr>
  </w:style>
  <w:style w:type="character" w:styleId="1022" w:customStyle="1">
    <w:name w:val="表正文"/>
    <w:uiPriority w:val="0"/>
    <w:qFormat/>
    <w:rPr>
      <w:rFonts w:ascii="楷体_GB2312" w:hAnsi="Tahoma" w:eastAsia="宋体"/>
      <w:sz w:val="21"/>
      <w:lang w:val="en-US" w:eastAsia="zh-CN" w:bidi="ar-SA"/>
    </w:rPr>
  </w:style>
  <w:style w:type="character" w:styleId="1023" w:customStyle="1">
    <w:name w:val="font141"/>
    <w:uiPriority w:val="0"/>
    <w:qFormat/>
    <w:rPr>
      <w:rFonts w:hint="default" w:ascii="Times New Roman" w:hAnsi="Times New Roman" w:eastAsia="宋体" w:cs="Times New Roman"/>
      <w:color w:val="000000"/>
      <w:sz w:val="21"/>
      <w:szCs w:val="21"/>
      <w:u w:val="none"/>
      <w:vertAlign w:val="superscript"/>
    </w:rPr>
  </w:style>
  <w:style w:type="character" w:styleId="1024" w:customStyle="1">
    <w:name w:val="font111"/>
    <w:uiPriority w:val="0"/>
    <w:qFormat/>
    <w:rPr>
      <w:rFonts w:hint="default" w:ascii="Times New Roman" w:hAnsi="Times New Roman" w:eastAsia="宋体" w:cs="Times New Roman"/>
      <w:color w:val="000000"/>
      <w:sz w:val="21"/>
      <w:szCs w:val="21"/>
      <w:u w:val="none"/>
      <w:vertAlign w:val="subscript"/>
    </w:rPr>
  </w:style>
  <w:style w:type="character" w:styleId="1025" w:customStyle="1">
    <w:name w:val="font41"/>
    <w:uiPriority w:val="0"/>
    <w:qFormat/>
    <w:rPr>
      <w:rFonts w:hint="eastAsia" w:ascii="宋体" w:hAnsi="宋体" w:eastAsia="宋体" w:cs="宋体"/>
      <w:color w:val="000000"/>
      <w:sz w:val="18"/>
      <w:szCs w:val="18"/>
      <w:u w:val="none"/>
    </w:rPr>
  </w:style>
  <w:style w:type="paragraph" w:styleId="1026" w:customStyle="1">
    <w:name w:val="xl54"/>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27" w:customStyle="1">
    <w:name w:val="Char Char Char1 Char Char Char Char"/>
    <w:basedOn w:val="893"/>
    <w:uiPriority w:val="0"/>
    <w:qFormat/>
    <w:pPr>
      <w:jc w:val="left"/>
      <w:spacing w:after="160" w:line="240" w:lineRule="exact"/>
      <w:widowControl/>
    </w:pPr>
    <w:rPr>
      <w:rFonts w:eastAsia="宋体"/>
      <w:sz w:val="24"/>
      <w:szCs w:val="24"/>
    </w:rPr>
  </w:style>
  <w:style w:type="paragraph" w:styleId="1028" w:customStyle="1">
    <w:name w:val="纯文本4"/>
    <w:basedOn w:val="893"/>
    <w:uiPriority w:val="0"/>
    <w:qFormat/>
    <w:rPr>
      <w:rFonts w:ascii="宋体" w:hAnsi="Courier New"/>
    </w:rPr>
  </w:style>
  <w:style w:type="paragraph" w:styleId="1029" w:customStyle="1">
    <w:name w:val="Char Char1 Char Char Char Char Char Char Char Char Char Char Char Char Char Char Char Char"/>
    <w:basedOn w:val="893"/>
    <w:uiPriority w:val="0"/>
    <w:qFormat/>
    <w:pPr>
      <w:jc w:val="left"/>
      <w:spacing w:after="160" w:line="240" w:lineRule="exact"/>
      <w:widowControl/>
    </w:pPr>
    <w:rPr>
      <w:rFonts w:ascii="Verdana" w:hAnsi="Verdana" w:eastAsia="宋体"/>
      <w:sz w:val="20"/>
      <w:lang w:eastAsia="en-US"/>
    </w:rPr>
  </w:style>
  <w:style w:type="paragraph" w:styleId="1030" w:customStyle="1">
    <w:name w:val="msolistparagraph"/>
    <w:basedOn w:val="893"/>
    <w:uiPriority w:val="0"/>
    <w:qFormat/>
    <w:pPr>
      <w:ind w:firstLine="420"/>
    </w:pPr>
    <w:rPr>
      <w:szCs w:val="21"/>
    </w:rPr>
  </w:style>
  <w:style w:type="paragraph" w:styleId="1031" w:customStyle="1">
    <w:name w:val="xl66"/>
    <w:basedOn w:val="8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32" w:customStyle="1">
    <w:name w:val="xl65"/>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33" w:customStyle="1">
    <w:name w:val="纯文本2"/>
    <w:basedOn w:val="893"/>
    <w:uiPriority w:val="0"/>
    <w:qFormat/>
    <w:rPr>
      <w:rFonts w:ascii="宋体" w:hAnsi="Courier New"/>
      <w:sz w:val="28"/>
    </w:rPr>
  </w:style>
  <w:style w:type="paragraph" w:styleId="1034" w:customStyle="1">
    <w:name w:val="分标题"/>
    <w:basedOn w:val="893"/>
    <w:next w:val="908"/>
    <w:uiPriority w:val="0"/>
    <w:qFormat/>
    <w:pPr>
      <w:ind w:left="567" w:hanging="567"/>
      <w:spacing w:before="120" w:after="120" w:line="360" w:lineRule="exact"/>
      <w:tabs>
        <w:tab w:val="left" w:pos="567" w:leader="none"/>
      </w:tabs>
      <w:outlineLvl w:val="3"/>
    </w:pPr>
    <w:rPr>
      <w:rFonts w:ascii="宋体" w:hAnsi="宋体" w:eastAsia="宋体"/>
      <w:b/>
      <w:sz w:val="24"/>
      <w:szCs w:val="24"/>
    </w:rPr>
  </w:style>
  <w:style w:type="paragraph" w:styleId="1035" w:customStyle="1">
    <w:name w:val="xl47"/>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036" w:customStyle="1">
    <w:name w:val="纯文本21"/>
    <w:basedOn w:val="893"/>
    <w:uiPriority w:val="0"/>
    <w:qFormat/>
    <w:rPr>
      <w:rFonts w:ascii="宋体" w:hAnsi="Courier New"/>
      <w:sz w:val="28"/>
    </w:rPr>
  </w:style>
  <w:style w:type="paragraph" w:styleId="1037" w:customStyle="1">
    <w:name w:val="+正文"/>
    <w:basedOn w:val="893"/>
    <w:uiPriority w:val="0"/>
    <w:qFormat/>
    <w:pPr>
      <w:ind w:firstLine="200"/>
      <w:spacing w:line="360" w:lineRule="auto"/>
    </w:pPr>
    <w:rPr>
      <w:rFonts w:eastAsia="宋体"/>
      <w:sz w:val="24"/>
      <w:szCs w:val="28"/>
    </w:rPr>
  </w:style>
  <w:style w:type="paragraph" w:styleId="1038" w:customStyle="1">
    <w:name w:val="000左齐平"/>
    <w:basedOn w:val="893"/>
    <w:uiPriority w:val="0"/>
    <w:qFormat/>
    <w:pPr>
      <w:jc w:val="left"/>
    </w:pPr>
    <w:rPr>
      <w:color w:val="000000"/>
    </w:rPr>
  </w:style>
  <w:style w:type="paragraph" w:styleId="1039" w:customStyle="1">
    <w:name w:val="xl52"/>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40" w:customStyle="1">
    <w:name w:val="xl62"/>
    <w:basedOn w:val="8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41" w:customStyle="1">
    <w:name w:val="并列样式"/>
    <w:basedOn w:val="893"/>
    <w:next w:val="893"/>
    <w:uiPriority w:val="0"/>
    <w:qFormat/>
    <w:pPr>
      <w:ind w:left="839" w:hanging="419"/>
      <w:spacing w:before="120" w:after="120" w:line="360" w:lineRule="exact"/>
      <w:tabs>
        <w:tab w:val="left" w:pos="839" w:leader="none"/>
      </w:tabs>
    </w:pPr>
    <w:rPr>
      <w:rFonts w:eastAsia="宋体"/>
      <w:sz w:val="24"/>
    </w:rPr>
  </w:style>
  <w:style w:type="paragraph" w:styleId="1042" w:customStyle="1">
    <w:name w:val="xl61"/>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43" w:customStyle="1">
    <w:name w:val="正文 A"/>
    <w:uiPriority w:val="0"/>
    <w:qFormat/>
    <w:pPr>
      <w:jc w:val="both"/>
      <w:widowControl w:val="off"/>
      <w:framePr w:wrap="around" w:vAnchor="margin" w:hAnchor="text" w:y="1"/>
    </w:pPr>
    <w:rPr>
      <w:rFonts w:ascii="Times New Roman" w:hAnsi="Arial Unicode MS" w:eastAsia="Arial Unicode MS" w:cs="Arial Unicode MS"/>
      <w:color w:val="000000"/>
      <w:sz w:val="21"/>
      <w:szCs w:val="21"/>
      <w:lang w:val="en-US" w:eastAsia="zh-CN" w:bidi="ar-SA"/>
    </w:rPr>
  </w:style>
  <w:style w:type="paragraph" w:styleId="1044" w:customStyle="1">
    <w:name w:val="Char Char1 Char Char Char Char Char Char Char"/>
    <w:basedOn w:val="893"/>
    <w:uiPriority w:val="0"/>
    <w:qFormat/>
  </w:style>
  <w:style w:type="paragraph" w:styleId="1045" w:customStyle="1">
    <w:name w:val="小四 段落 宋体 Char Char Char Char Char Char"/>
    <w:uiPriority w:val="0"/>
    <w:qFormat/>
    <w:pPr>
      <w:ind w:firstLine="480"/>
    </w:pPr>
    <w:rPr>
      <w:rFonts w:ascii="宋体" w:hAnsi="宋体" w:eastAsia="宋体" w:cs="Times New Roman"/>
      <w:lang w:val="en-US" w:eastAsia="zh-CN" w:bidi="ar-SA"/>
    </w:rPr>
  </w:style>
  <w:style w:type="paragraph" w:styleId="1046" w:customStyle="1">
    <w:name w:val="xl45"/>
    <w:basedOn w:val="8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47" w:customStyle="1">
    <w:name w:val="xl53"/>
    <w:basedOn w:val="8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48" w:customStyle="1">
    <w:name w:val="节标题"/>
    <w:basedOn w:val="893"/>
    <w:next w:val="908"/>
    <w:uiPriority w:val="0"/>
    <w:qFormat/>
    <w:pPr>
      <w:ind w:left="420" w:hanging="420"/>
      <w:spacing w:before="120" w:after="120" w:line="360" w:lineRule="exact"/>
      <w:tabs>
        <w:tab w:val="left" w:pos="420" w:leader="none"/>
      </w:tabs>
      <w:outlineLvl w:val="1"/>
    </w:pPr>
    <w:rPr>
      <w:rFonts w:eastAsia="宋体"/>
      <w:b/>
      <w:bCs/>
      <w:sz w:val="28"/>
    </w:rPr>
  </w:style>
  <w:style w:type="paragraph" w:styleId="1049" w:customStyle="1">
    <w:name w:val="Andy_正文"/>
    <w:basedOn w:val="893"/>
    <w:uiPriority w:val="0"/>
    <w:qFormat/>
    <w:pPr>
      <w:ind w:firstLine="480"/>
      <w:spacing w:line="360" w:lineRule="auto"/>
    </w:pPr>
    <w:rPr>
      <w:rFonts w:ascii="Calibri" w:hAnsi="Calibri" w:eastAsia="宋体"/>
      <w:sz w:val="24"/>
      <w:szCs w:val="24"/>
    </w:rPr>
  </w:style>
  <w:style w:type="paragraph" w:styleId="1050" w:customStyle="1">
    <w:name w:val="xl51"/>
    <w:basedOn w:val="8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51" w:customStyle="1">
    <w:name w:val="_Style 12"/>
    <w:basedOn w:val="910"/>
    <w:uiPriority w:val="0"/>
    <w:qFormat/>
    <w:pPr>
      <w:jc w:val="left"/>
      <w:spacing w:line="360" w:lineRule="auto"/>
      <w:widowControl/>
    </w:pPr>
  </w:style>
  <w:style w:type="paragraph" w:styleId="1052" w:customStyle="1">
    <w:name w:val="_Style 158"/>
    <w:uiPriority w:val="99"/>
    <w:unhideWhenUsed/>
    <w:qFormat/>
    <w:rPr>
      <w:rFonts w:ascii="Times New Roman" w:hAnsi="Times New Roman" w:eastAsia="楷体_GB2312" w:cs="Times New Roman"/>
      <w:sz w:val="26"/>
      <w:lang w:val="en-US" w:eastAsia="zh-CN" w:bidi="ar-SA"/>
    </w:rPr>
  </w:style>
  <w:style w:type="paragraph" w:styleId="1053" w:customStyle="1">
    <w:name w:val="Default"/>
    <w:next w:val="923"/>
    <w:uiPriority w:val="0"/>
    <w:qFormat/>
    <w:pPr>
      <w:widowControl w:val="off"/>
    </w:pPr>
    <w:rPr>
      <w:rFonts w:ascii="宋体" w:hAnsi="Calibri" w:eastAsia="宋体" w:cs="宋体"/>
      <w:color w:val="000000"/>
      <w:sz w:val="24"/>
      <w:szCs w:val="24"/>
      <w:lang w:val="en-US" w:eastAsia="zh-CN" w:bidi="ar-SA"/>
    </w:rPr>
  </w:style>
  <w:style w:type="paragraph" w:styleId="1054" w:customStyle="1">
    <w:name w:val="xl57"/>
    <w:basedOn w:val="89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55" w:customStyle="1">
    <w:name w:val="xl49"/>
    <w:basedOn w:val="893"/>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056" w:customStyle="1">
    <w:name w:val="Char Char Char"/>
    <w:basedOn w:val="893"/>
    <w:uiPriority w:val="0"/>
    <w:qFormat/>
    <w:rPr>
      <w:rFonts w:ascii="Tahoma" w:hAnsi="Tahoma" w:eastAsia="宋体"/>
      <w:sz w:val="24"/>
    </w:rPr>
  </w:style>
  <w:style w:type="paragraph" w:styleId="1057" w:customStyle="1">
    <w:name w:val="xl59"/>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58" w:customStyle="1">
    <w:name w:val="xl63"/>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59" w:customStyle="1">
    <w:name w:val="Char Char Char Char Char Char Char"/>
    <w:basedOn w:val="893"/>
    <w:uiPriority w:val="0"/>
    <w:qFormat/>
    <w:pPr>
      <w:ind w:left="432" w:hanging="432"/>
      <w:tabs>
        <w:tab w:val="left" w:pos="432" w:leader="none"/>
      </w:tabs>
    </w:pPr>
    <w:rPr>
      <w:rFonts w:ascii="Tahoma" w:hAnsi="Tahoma" w:eastAsia="宋体"/>
      <w:sz w:val="24"/>
    </w:rPr>
  </w:style>
  <w:style w:type="paragraph" w:styleId="1060" w:customStyle="1">
    <w:name w:val="font5"/>
    <w:basedOn w:val="893"/>
    <w:uiPriority w:val="0"/>
    <w:qFormat/>
    <w:pPr>
      <w:jc w:val="left"/>
      <w:spacing w:before="100" w:beforeAutospacing="1" w:after="100" w:afterAutospacing="1"/>
      <w:widowControl/>
    </w:pPr>
    <w:rPr>
      <w:rFonts w:hint="eastAsia" w:ascii="宋体" w:hAnsi="宋体" w:eastAsia="宋体"/>
      <w:sz w:val="18"/>
      <w:szCs w:val="18"/>
    </w:rPr>
  </w:style>
  <w:style w:type="paragraph" w:styleId="1061" w:customStyle="1">
    <w:name w:val="Char"/>
    <w:basedOn w:val="893"/>
    <w:uiPriority w:val="0"/>
    <w:qFormat/>
    <w:rPr>
      <w:rFonts w:ascii="Tahoma" w:hAnsi="Tahoma" w:eastAsia="宋体"/>
      <w:sz w:val="24"/>
    </w:rPr>
  </w:style>
  <w:style w:type="paragraph" w:styleId="1062" w:customStyle="1">
    <w:name w:val="Blockquote"/>
    <w:basedOn w:val="893"/>
    <w:uiPriority w:val="0"/>
    <w:qFormat/>
    <w:pPr>
      <w:ind w:left="360" w:right="360"/>
      <w:jc w:val="left"/>
      <w:spacing w:before="100" w:after="100"/>
    </w:pPr>
    <w:rPr>
      <w:sz w:val="24"/>
    </w:rPr>
  </w:style>
  <w:style w:type="paragraph" w:styleId="1063" w:customStyle="1">
    <w:name w:val="Char Char Char Char Char Char Char Char Char1 Char"/>
    <w:basedOn w:val="910"/>
    <w:uiPriority w:val="0"/>
    <w:qFormat/>
    <w:pPr>
      <w:spacing w:line="360" w:lineRule="auto"/>
    </w:pPr>
    <w:rPr>
      <w:rFonts w:ascii="Tahoma" w:hAnsi="Tahoma"/>
      <w:szCs w:val="24"/>
    </w:rPr>
  </w:style>
  <w:style w:type="paragraph" w:styleId="1064" w:customStyle="1">
    <w:name w:val="font6"/>
    <w:basedOn w:val="893"/>
    <w:uiPriority w:val="0"/>
    <w:qFormat/>
    <w:pPr>
      <w:jc w:val="left"/>
      <w:spacing w:before="100" w:beforeAutospacing="1" w:after="100" w:afterAutospacing="1"/>
      <w:widowControl/>
    </w:pPr>
    <w:rPr>
      <w:rFonts w:hint="eastAsia" w:ascii="宋体" w:hAnsi="宋体" w:eastAsia="宋体" w:cs="Arial Unicode MS"/>
      <w:b/>
      <w:bCs/>
      <w:sz w:val="18"/>
      <w:szCs w:val="18"/>
    </w:rPr>
  </w:style>
  <w:style w:type="paragraph" w:styleId="1065" w:customStyle="1">
    <w:name w:val="xl46"/>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66" w:customStyle="1">
    <w:name w:val="xl58"/>
    <w:basedOn w:val="8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67" w:customStyle="1">
    <w:name w:val="_Style 1"/>
    <w:basedOn w:val="893"/>
    <w:uiPriority w:val="34"/>
    <w:qFormat/>
    <w:pPr>
      <w:ind w:firstLine="420"/>
    </w:pPr>
    <w:rPr>
      <w:rFonts w:ascii="Calibri" w:hAnsi="Calibri"/>
      <w:szCs w:val="22"/>
    </w:rPr>
  </w:style>
  <w:style w:type="paragraph" w:styleId="1068" w:customStyle="1">
    <w:name w:val="xl64"/>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69" w:customStyle="1">
    <w:name w:val="列出段落1"/>
    <w:basedOn w:val="893"/>
    <w:uiPriority w:val="0"/>
    <w:qFormat/>
    <w:pPr>
      <w:ind w:firstLine="420"/>
    </w:pPr>
  </w:style>
  <w:style w:type="paragraph" w:styleId="1070" w:customStyle="1">
    <w:name w:val="xl55"/>
    <w:basedOn w:val="89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71" w:customStyle="1">
    <w:name w:val="xl56"/>
    <w:basedOn w:val="8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72" w:customStyle="1">
    <w:name w:val="xl60"/>
    <w:basedOn w:val="8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73" w:customStyle="1">
    <w:name w:val="分层标题"/>
    <w:basedOn w:val="893"/>
    <w:next w:val="908"/>
    <w:uiPriority w:val="0"/>
    <w:qFormat/>
    <w:pPr>
      <w:ind w:left="709" w:hanging="709"/>
      <w:spacing w:before="120" w:after="120" w:line="360" w:lineRule="exact"/>
      <w:tabs>
        <w:tab w:val="left" w:pos="1080" w:leader="none"/>
      </w:tabs>
      <w:outlineLvl w:val="4"/>
    </w:pPr>
    <w:rPr>
      <w:rFonts w:eastAsia="宋体"/>
      <w:b/>
      <w:sz w:val="24"/>
      <w:szCs w:val="24"/>
    </w:rPr>
  </w:style>
  <w:style w:type="paragraph" w:styleId="1074" w:customStyle="1">
    <w:name w:val="xl50"/>
    <w:basedOn w:val="8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75" w:customStyle="1">
    <w:name w:val="xl48"/>
    <w:basedOn w:val="8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076" w:customStyle="1">
    <w:name w:val="正文样式"/>
    <w:basedOn w:val="893"/>
    <w:uiPriority w:val="0"/>
    <w:qFormat/>
    <w:pPr>
      <w:ind w:firstLine="584"/>
    </w:pPr>
    <w:rPr>
      <w:rFonts w:ascii="仿宋_GB2312" w:eastAsia="仿宋_GB2312"/>
      <w:spacing w:val="-4"/>
      <w:sz w:val="30"/>
      <w:szCs w:val="30"/>
    </w:rPr>
  </w:style>
  <w:style w:type="paragraph" w:styleId="1077" w:customStyle="1">
    <w:name w:val="纯文本11"/>
    <w:basedOn w:val="893"/>
    <w:uiPriority w:val="99"/>
    <w:qFormat/>
    <w:rPr>
      <w:rFonts w:ascii="宋体" w:hAnsi="Courier New" w:eastAsia="宋体"/>
      <w:sz w:val="21"/>
      <w:szCs w:val="22"/>
    </w:rPr>
  </w:style>
  <w:style w:type="paragraph" w:styleId="1078" w:customStyle="1">
    <w:name w:val="首行缩进"/>
    <w:basedOn w:val="893"/>
    <w:uiPriority w:val="0"/>
    <w:qFormat/>
    <w:pPr>
      <w:ind w:firstLine="480"/>
    </w:pPr>
    <w:rPr>
      <w:lang w:val="zh-CN"/>
    </w:rPr>
  </w:style>
  <w:style w:type="paragraph" w:styleId="1079" w:customStyle="1">
    <w:name w:val="默认段落字体 Para Char Char Char Char Char Char Char"/>
    <w:basedOn w:val="893"/>
    <w:uiPriority w:val="0"/>
    <w:qFormat/>
    <w:pPr>
      <w:spacing w:line="360" w:lineRule="auto"/>
    </w:pPr>
    <w:rPr>
      <w:rFonts w:ascii="Tahoma" w:hAnsi="Tahoma" w:eastAsia="宋体"/>
      <w:sz w:val="24"/>
    </w:rPr>
  </w:style>
  <w:style w:type="paragraph" w:styleId="1080" w:customStyle="1">
    <w:name w:val="批注框文本1"/>
    <w:basedOn w:val="893"/>
    <w:uiPriority w:val="0"/>
    <w:semiHidden/>
    <w:qFormat/>
    <w:rPr>
      <w:sz w:val="18"/>
      <w:szCs w:val="18"/>
    </w:rPr>
  </w:style>
  <w:style w:type="paragraph" w:styleId="1081" w:customStyle="1">
    <w:name w:val="p0"/>
    <w:basedOn w:val="893"/>
    <w:uiPriority w:val="0"/>
    <w:qFormat/>
    <w:rPr>
      <w:rFonts w:hint="eastAsia"/>
    </w:rPr>
  </w:style>
  <w:style w:type="paragraph" w:styleId="1082" w:customStyle="1">
    <w:name w:val="小四 段落 宋体 Char"/>
    <w:basedOn w:val="907"/>
    <w:uiPriority w:val="0"/>
    <w:qFormat/>
    <w:pPr>
      <w:ind w:left="0" w:right="-33" w:firstLine="480"/>
      <w:jc w:val="left"/>
      <w:spacing w:line="360" w:lineRule="auto"/>
      <w:tabs>
        <w:tab w:val="clear" w:pos="1125" w:leader="none"/>
      </w:tabs>
    </w:pPr>
    <w:rPr>
      <w:sz w:val="24"/>
    </w:rPr>
  </w:style>
  <w:style w:type="character" w:styleId="1083" w:customStyle="1">
    <w:name w:val="NormalCharacter"/>
    <w:uiPriority w:val="0"/>
    <w:semiHidden/>
    <w:qFormat/>
  </w:style>
  <w:style w:type="paragraph" w:styleId="1084" w:customStyle="1">
    <w:name w:val="纯文本3"/>
    <w:basedOn w:val="893"/>
    <w:uiPriority w:val="0"/>
    <w:qFormat/>
    <w:rPr>
      <w:rFonts w:ascii="宋体" w:hAnsi="Courier New"/>
      <w:sz w:val="21"/>
    </w:rPr>
  </w:style>
  <w:style w:type="paragraph" w:styleId="1085" w:customStyle="1">
    <w:name w:val="列出段落2"/>
    <w:basedOn w:val="893"/>
    <w:uiPriority w:val="34"/>
    <w:qFormat/>
    <w:pPr>
      <w:ind w:firstLine="420"/>
    </w:pPr>
    <w:rPr>
      <w:rFonts w:ascii="宋体" w:hAnsi="宋体"/>
      <w:sz w:val="24"/>
      <w:szCs w:val="24"/>
    </w:rPr>
  </w:style>
  <w:style w:type="paragraph" w:styleId="1086" w:customStyle="1">
    <w:name w:val="Normal_0"/>
    <w:next w:val="1087"/>
    <w:uiPriority w:val="0"/>
    <w:qFormat/>
    <w:pPr>
      <w:jc w:val="both"/>
      <w:widowControl w:val="off"/>
    </w:pPr>
    <w:rPr>
      <w:rFonts w:ascii="Times New Roman" w:hAnsi="Times New Roman" w:eastAsia="Times New Roman" w:cs="Times New Roman"/>
      <w:sz w:val="21"/>
      <w:szCs w:val="24"/>
      <w:lang w:val="en-US" w:eastAsia="zh-CN" w:bidi="ar-SA"/>
    </w:rPr>
  </w:style>
  <w:style w:type="paragraph" w:styleId="1087" w:customStyle="1">
    <w:name w:val="首行缩进_0"/>
    <w:basedOn w:val="1086"/>
    <w:uiPriority w:val="0"/>
    <w:qFormat/>
    <w:pPr>
      <w:ind w:firstLine="480"/>
      <w:jc w:val="left"/>
      <w:spacing w:line="360" w:lineRule="auto"/>
    </w:pPr>
    <w:rPr>
      <w:rFonts w:ascii="宋体" w:hAnsi="宋体"/>
      <w:sz w:val="24"/>
    </w:rPr>
  </w:style>
  <w:style w:type="paragraph" w:styleId="1088" w:customStyle="1">
    <w:name w:val="Normal_0_2"/>
    <w:uiPriority w:val="0"/>
    <w:qFormat/>
    <w:rPr>
      <w:rFonts w:ascii="Calibri" w:hAnsi="Calibri" w:eastAsia="Times New Roman" w:cs="Times New Roman"/>
      <w:sz w:val="24"/>
      <w:szCs w:val="24"/>
      <w:lang w:val="en-US" w:eastAsia="zh-CN" w:bidi="ar-SA"/>
    </w:rPr>
  </w:style>
  <w:style w:type="paragraph" w:styleId="1089" w:customStyle="1">
    <w:name w:val="普通正文"/>
    <w:basedOn w:val="893"/>
    <w:uiPriority w:val="0"/>
    <w:qFormat/>
    <w:pPr>
      <w:ind w:firstLine="480"/>
      <w:jc w:val="left"/>
      <w:spacing w:before="120" w:after="120" w:line="360" w:lineRule="auto"/>
    </w:pPr>
    <w:rPr>
      <w:rFonts w:ascii="Arial" w:hAnsi="Arial"/>
      <w:sz w:val="24"/>
    </w:rPr>
  </w:style>
  <w:style w:type="paragraph" w:styleId="1090" w:customStyle="1">
    <w:name w:val="彩色列表1"/>
    <w:basedOn w:val="893"/>
    <w:next w:val="1091"/>
    <w:uiPriority w:val="34"/>
    <w:qFormat/>
    <w:pPr>
      <w:ind w:firstLine="420"/>
      <w:spacing w:line="360" w:lineRule="auto"/>
    </w:pPr>
    <w:rPr>
      <w:rFonts w:ascii="Calibri" w:hAnsi="Calibri"/>
      <w:sz w:val="20"/>
    </w:rPr>
  </w:style>
  <w:style w:type="paragraph" w:styleId="1091" w:customStyle="1">
    <w:name w:val="批注文字1"/>
    <w:basedOn w:val="893"/>
    <w:uiPriority w:val="99"/>
    <w:qFormat/>
    <w:pPr>
      <w:jc w:val="left"/>
    </w:pPr>
  </w:style>
  <w:style w:type="paragraph" w:styleId="1092" w:customStyle="1">
    <w:name w:val="Normal_19"/>
    <w:uiPriority w:val="0"/>
    <w:qFormat/>
    <w:rPr>
      <w:rFonts w:ascii="Calibri" w:hAnsi="Calibri" w:eastAsia="Times New Roman" w:cs="Times New Roman"/>
      <w:sz w:val="24"/>
      <w:szCs w:val="24"/>
      <w:lang w:val="en-US" w:eastAsia="zh-CN" w:bidi="ar-SA"/>
    </w:rPr>
  </w:style>
  <w:style w:type="paragraph" w:styleId="1093" w:customStyle="1">
    <w:name w:val="修订1"/>
    <w:hidden/>
    <w:uiPriority w:val="99"/>
    <w:unhideWhenUsed/>
    <w:qFormat/>
    <w:rPr>
      <w:rFonts w:ascii="Times New Roman" w:hAnsi="Times New Roman" w:eastAsia="楷体_GB2312" w:cs="Times New Roman"/>
      <w:sz w:val="26"/>
      <w:lang w:val="en-US" w:eastAsia="zh-CN" w:bidi="ar-SA"/>
    </w:rPr>
  </w:style>
  <w:style w:type="paragraph" w:styleId="1094" w:customStyle="1">
    <w:name w:val="Revision"/>
    <w:hidden/>
    <w:uiPriority w:val="99"/>
    <w:unhideWhenUsed/>
    <w:qFormat/>
    <w:rPr>
      <w:rFonts w:ascii="Times New Roman" w:hAnsi="Times New Roman" w:eastAsia="楷体_GB2312" w:cs="Times New Roman"/>
      <w:sz w:val="26"/>
      <w:lang w:val="en-US" w:eastAsia="zh-CN" w:bidi="ar-SA"/>
    </w:rPr>
  </w:style>
  <w:style w:type="numbering" w:styleId="10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沈鹰</cp:lastModifiedBy>
  <cp:revision>17</cp:revision>
  <dcterms:created xsi:type="dcterms:W3CDTF">2026-04-24T08:09:00Z</dcterms:created>
  <dcterms:modified xsi:type="dcterms:W3CDTF">2026-05-25T08:21:14Z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225F0ACD3D9E42BEB1113CEE7138160C_13</vt:lpwstr>
  </property>
  <property fmtid="{D5CDD505-2E9C-101B-9397-08002B2CF9AE}" pid="4" name="KSOTemplateDocerSaveRecord">
    <vt:lpwstr>eyJoZGlkIjoiZTg1ZjBiYjczODk3ZDAxZTcxNzhmZTc1ZjVmOWU3NDAiLCJ1c2VySWQiOiI0MTgxMDg2MzUifQ==</vt:lpwstr>
  </property>
</Properties>
</file>